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46FC2D9" w14:textId="7C3B5647" w:rsidR="00D23F53" w:rsidRDefault="00D23F53" w:rsidP="00D23F53">
      <w:pPr>
        <w:spacing w:after="0"/>
        <w:rPr>
          <w:b/>
          <w:sz w:val="22"/>
          <w:u w:val="single"/>
        </w:rPr>
      </w:pPr>
      <w:r w:rsidRPr="00D23F53">
        <w:rPr>
          <w:b/>
          <w:noProof/>
          <w:sz w:val="22"/>
          <w:u w:val="single"/>
          <w:lang w:eastAsia="en-GB"/>
        </w:rPr>
        <mc:AlternateContent>
          <mc:Choice Requires="wps">
            <w:drawing>
              <wp:anchor distT="0" distB="0" distL="114300" distR="114300" simplePos="0" relativeHeight="251661312" behindDoc="0" locked="0" layoutInCell="1" allowOverlap="1" wp14:anchorId="65B5DB81" wp14:editId="2F5C1D50">
                <wp:simplePos x="0" y="0"/>
                <wp:positionH relativeFrom="column">
                  <wp:posOffset>273050</wp:posOffset>
                </wp:positionH>
                <wp:positionV relativeFrom="paragraph">
                  <wp:posOffset>-1016635</wp:posOffset>
                </wp:positionV>
                <wp:extent cx="0" cy="828675"/>
                <wp:effectExtent l="0" t="0" r="19050" b="9525"/>
                <wp:wrapNone/>
                <wp:docPr id="4" name="Straight Connector 4"/>
                <wp:cNvGraphicFramePr/>
                <a:graphic xmlns:a="http://schemas.openxmlformats.org/drawingml/2006/main">
                  <a:graphicData uri="http://schemas.microsoft.com/office/word/2010/wordprocessingShape">
                    <wps:wsp>
                      <wps:cNvCnPr/>
                      <wps:spPr>
                        <a:xfrm flipV="1">
                          <a:off x="0" y="0"/>
                          <a:ext cx="0" cy="828675"/>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64A1F"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80.05pt" to="2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" strokecolor="white [3212]">
                <v:stroke joinstyle="miter"/>
              </v:line>
            </w:pict>
          </mc:Fallback>
        </mc:AlternateContent>
      </w:r>
      <w:r w:rsidRPr="00D23F53">
        <w:rPr>
          <w:b/>
          <w:noProof/>
          <w:sz w:val="22"/>
          <w:u w:val="single"/>
          <w:lang w:eastAsia="en-GB"/>
        </w:rPr>
        <mc:AlternateContent>
          <mc:Choice Requires="wps">
            <w:drawing>
              <wp:anchor distT="0" distB="0" distL="114300" distR="114300" simplePos="0" relativeHeight="251660288" behindDoc="0" locked="0" layoutInCell="1" allowOverlap="1" wp14:anchorId="05B77F53" wp14:editId="7FB09569">
                <wp:simplePos x="0" y="0"/>
                <wp:positionH relativeFrom="column">
                  <wp:posOffset>290195</wp:posOffset>
                </wp:positionH>
                <wp:positionV relativeFrom="paragraph">
                  <wp:posOffset>-588645</wp:posOffset>
                </wp:positionV>
                <wp:extent cx="1870075" cy="6134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613410"/>
                        </a:xfrm>
                        <a:prstGeom prst="rect">
                          <a:avLst/>
                        </a:prstGeom>
                        <a:noFill/>
                        <a:ln w="9525">
                          <a:noFill/>
                          <a:miter lim="800000"/>
                          <a:headEnd/>
                          <a:tailEnd/>
                        </a:ln>
                      </wps:spPr>
                      <wps:txbx>
                        <w:txbxContent>
                          <w:p w14:paraId="2927D09D" w14:textId="77777777" w:rsidR="00D23F53" w:rsidRPr="004B66E7" w:rsidRDefault="00D23F53" w:rsidP="00D23F53">
                            <w:pPr>
                              <w:rPr>
                                <w:rFonts w:ascii="Myriad Pro" w:hAnsi="Myriad Pro"/>
                                <w:b/>
                                <w:color w:val="FFFFFF" w:themeColor="background1"/>
                              </w:rPr>
                            </w:pPr>
                            <w:r>
                              <w:rPr>
                                <w:rFonts w:ascii="Myriad Pro" w:hAnsi="Myriad Pro"/>
                                <w:b/>
                                <w:color w:val="FFFFFF" w:themeColor="background1"/>
                                <w:sz w:val="30"/>
                              </w:rPr>
                              <w:t>Junior d</w:t>
                            </w:r>
                            <w:r w:rsidRPr="00F92A8C">
                              <w:rPr>
                                <w:rFonts w:ascii="Myriad Pro" w:hAnsi="Myriad Pro"/>
                                <w:b/>
                                <w:color w:val="FFFFFF" w:themeColor="background1"/>
                                <w:sz w:val="30"/>
                              </w:rPr>
                              <w:t>octors</w:t>
                            </w:r>
                            <w:r>
                              <w:rPr>
                                <w:rFonts w:ascii="Myriad Pro" w:hAnsi="Myriad Pro"/>
                                <w:b/>
                                <w:color w:val="FFFFFF" w:themeColor="background1"/>
                              </w:rPr>
                              <w:br/>
                            </w:r>
                            <w:r w:rsidRPr="00595BFD">
                              <w:rPr>
                                <w:rFonts w:ascii="Myriad Pro" w:hAnsi="Myriad Pro"/>
                                <w:color w:val="FFFFFF" w:themeColor="background1"/>
                                <w:sz w:val="20"/>
                              </w:rPr>
                              <w:t>The new 2016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B77F53" id="_x0000_t202" coordsize="21600,21600" o:spt="202" path="m,l,21600r21600,l21600,xe">
                <v:stroke joinstyle="miter"/>
                <v:path gradientshapeok="t" o:connecttype="rect"/>
              </v:shapetype>
              <v:shape id="Text Box 2" o:spid="_x0000_s1026" type="#_x0000_t202" style="position:absolute;margin-left:22.85pt;margin-top:-46.35pt;width:147.25pt;height: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" filled="f" stroked="f">
                <v:textbox style="mso-fit-shape-to-text:t">
                  <w:txbxContent>
                    <w:p w14:paraId="2927D09D" w14:textId="77777777" w:rsidR="00D23F53" w:rsidRPr="004B66E7" w:rsidRDefault="00D23F53" w:rsidP="00D23F53">
                      <w:pPr>
                        <w:rPr>
                          <w:rFonts w:ascii="Myriad Pro" w:hAnsi="Myriad Pro"/>
                          <w:b/>
                          <w:color w:val="FFFFFF" w:themeColor="background1"/>
                        </w:rPr>
                      </w:pPr>
                      <w:r>
                        <w:rPr>
                          <w:rFonts w:ascii="Myriad Pro" w:hAnsi="Myriad Pro"/>
                          <w:b/>
                          <w:color w:val="FFFFFF" w:themeColor="background1"/>
                          <w:sz w:val="30"/>
                        </w:rPr>
                        <w:t>Junior d</w:t>
                      </w:r>
                      <w:r w:rsidRPr="00F92A8C">
                        <w:rPr>
                          <w:rFonts w:ascii="Myriad Pro" w:hAnsi="Myriad Pro"/>
                          <w:b/>
                          <w:color w:val="FFFFFF" w:themeColor="background1"/>
                          <w:sz w:val="30"/>
                        </w:rPr>
                        <w:t>octors</w:t>
                      </w:r>
                      <w:r>
                        <w:rPr>
                          <w:rFonts w:ascii="Myriad Pro" w:hAnsi="Myriad Pro"/>
                          <w:b/>
                          <w:color w:val="FFFFFF" w:themeColor="background1"/>
                        </w:rPr>
                        <w:br/>
                      </w:r>
                      <w:r w:rsidRPr="00595BFD">
                        <w:rPr>
                          <w:rFonts w:ascii="Myriad Pro" w:hAnsi="Myriad Pro"/>
                          <w:color w:val="FFFFFF" w:themeColor="background1"/>
                          <w:sz w:val="20"/>
                        </w:rPr>
                        <w:t>The new 2016 contract</w:t>
                      </w:r>
                    </w:p>
                  </w:txbxContent>
                </v:textbox>
              </v:shape>
            </w:pict>
          </mc:Fallback>
        </mc:AlternateContent>
      </w:r>
      <w:r w:rsidRPr="00D23F53">
        <w:rPr>
          <w:b/>
          <w:noProof/>
          <w:sz w:val="22"/>
          <w:u w:val="single"/>
          <w:lang w:eastAsia="en-GB"/>
        </w:rPr>
        <mc:AlternateContent>
          <mc:Choice Requires="wps">
            <w:drawing>
              <wp:anchor distT="0" distB="0" distL="114300" distR="114300" simplePos="0" relativeHeight="251659264" behindDoc="1" locked="0" layoutInCell="1" allowOverlap="1" wp14:anchorId="6AE8CBC4" wp14:editId="0B69CF57">
                <wp:simplePos x="0" y="0"/>
                <wp:positionH relativeFrom="page">
                  <wp:posOffset>-500380</wp:posOffset>
                </wp:positionH>
                <wp:positionV relativeFrom="page">
                  <wp:posOffset>-2671445</wp:posOffset>
                </wp:positionV>
                <wp:extent cx="3886200" cy="3714750"/>
                <wp:effectExtent l="0" t="0" r="0" b="0"/>
                <wp:wrapNone/>
                <wp:docPr id="2" name="Oval 2"/>
                <wp:cNvGraphicFramePr/>
                <a:graphic xmlns:a="http://schemas.openxmlformats.org/drawingml/2006/main">
                  <a:graphicData uri="http://schemas.microsoft.com/office/word/2010/wordprocessingShape">
                    <wps:wsp>
                      <wps:cNvSpPr/>
                      <wps:spPr>
                        <a:xfrm>
                          <a:off x="0" y="0"/>
                          <a:ext cx="3886200" cy="3714750"/>
                        </a:xfrm>
                        <a:prstGeom prst="ellipse">
                          <a:avLst/>
                        </a:prstGeom>
                        <a:solidFill>
                          <a:srgbClr val="952D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68B57" id="Oval 2" o:spid="_x0000_s1026" style="position:absolute;margin-left:-39.4pt;margin-top:-210.35pt;width:306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" fillcolor="#952d98" stroked="f" strokeweight="1pt">
                <v:stroke joinstyle="miter"/>
                <w10:wrap anchorx="page" anchory="page"/>
              </v:oval>
            </w:pict>
          </mc:Fallback>
        </mc:AlternateContent>
      </w:r>
    </w:p>
    <w:p w14:paraId="68770C34" w14:textId="77777777" w:rsidR="00D23F53" w:rsidRDefault="00D23F53" w:rsidP="00D23F53">
      <w:pPr>
        <w:spacing w:after="0"/>
        <w:rPr>
          <w:b/>
          <w:sz w:val="22"/>
          <w:u w:val="single"/>
        </w:rPr>
      </w:pPr>
    </w:p>
    <w:p w14:paraId="5E8F2131" w14:textId="5AA2A85B" w:rsidR="0071771C" w:rsidRPr="00D23F53" w:rsidRDefault="00D23F53" w:rsidP="00D23F53">
      <w:pPr>
        <w:spacing w:after="0"/>
        <w:rPr>
          <w:rFonts w:ascii="DINOT" w:hAnsi="DINOT" w:cs="DINOT"/>
          <w:b/>
          <w:color w:val="912D98"/>
          <w:sz w:val="44"/>
          <w:szCs w:val="44"/>
        </w:rPr>
      </w:pPr>
      <w:r>
        <w:rPr>
          <w:rFonts w:ascii="DINOT" w:hAnsi="DINOT" w:cs="DINOT"/>
          <w:b/>
          <w:color w:val="912D98"/>
          <w:sz w:val="44"/>
          <w:szCs w:val="44"/>
        </w:rPr>
        <w:br/>
      </w:r>
      <w:r w:rsidR="0028464C">
        <w:rPr>
          <w:rFonts w:ascii="DINOT" w:hAnsi="DINOT" w:cs="DINOT"/>
          <w:b/>
          <w:color w:val="912D98"/>
          <w:sz w:val="44"/>
          <w:szCs w:val="44"/>
        </w:rPr>
        <w:t>Your</w:t>
      </w:r>
      <w:r w:rsidR="00673A2F" w:rsidRPr="00D23F53">
        <w:rPr>
          <w:rFonts w:ascii="DINOT" w:hAnsi="DINOT" w:cs="DINOT"/>
          <w:b/>
          <w:color w:val="912D98"/>
          <w:sz w:val="44"/>
          <w:szCs w:val="44"/>
        </w:rPr>
        <w:t xml:space="preserve"> cash floor and transition</w:t>
      </w:r>
    </w:p>
    <w:p w14:paraId="33F93DED" w14:textId="2EEEBA30" w:rsidR="00673A2F" w:rsidRPr="00D23F53" w:rsidRDefault="00673A2F" w:rsidP="00673A2F">
      <w:pPr>
        <w:spacing w:after="0"/>
        <w:jc w:val="center"/>
        <w:rPr>
          <w:rFonts w:ascii="DINOT" w:hAnsi="DINOT" w:cs="DINOT"/>
          <w:sz w:val="22"/>
        </w:rPr>
      </w:pPr>
    </w:p>
    <w:p w14:paraId="7BC980DD" w14:textId="1AA8CBEE" w:rsidR="0071771C" w:rsidRPr="00D23F53" w:rsidRDefault="008D14E9" w:rsidP="0071771C">
      <w:pPr>
        <w:spacing w:after="0"/>
        <w:rPr>
          <w:rFonts w:ascii="DINOT" w:hAnsi="DINOT" w:cs="DINOT"/>
          <w:szCs w:val="24"/>
        </w:rPr>
      </w:pPr>
      <w:r w:rsidRPr="00D23F53">
        <w:rPr>
          <w:rFonts w:ascii="DINOT" w:hAnsi="DINOT" w:cs="DINOT"/>
          <w:szCs w:val="24"/>
        </w:rPr>
        <w:t>If you are on the 2016 contract and eligible for pay protection under Schedule</w:t>
      </w:r>
      <w:r w:rsidR="00D23F53" w:rsidRPr="00D23F53">
        <w:rPr>
          <w:rFonts w:ascii="DINOT" w:hAnsi="DINOT" w:cs="DINOT"/>
          <w:szCs w:val="24"/>
        </w:rPr>
        <w:t xml:space="preserve"> 14 section 1</w:t>
      </w:r>
      <w:r w:rsidR="00D23F53">
        <w:rPr>
          <w:rFonts w:ascii="DINOT" w:hAnsi="DINOT" w:cs="DINOT"/>
          <w:szCs w:val="24"/>
        </w:rPr>
        <w:t xml:space="preserve"> of the terms and conditions of service (TCS)</w:t>
      </w:r>
      <w:r w:rsidR="00D23F53" w:rsidRPr="00D23F53">
        <w:rPr>
          <w:rFonts w:ascii="DINOT" w:hAnsi="DINOT" w:cs="DINOT"/>
          <w:szCs w:val="24"/>
        </w:rPr>
        <w:t xml:space="preserve">, you will have a </w:t>
      </w:r>
      <w:r w:rsidRPr="00D23F53">
        <w:rPr>
          <w:rFonts w:ascii="DINOT" w:hAnsi="DINOT" w:cs="DINOT"/>
          <w:szCs w:val="24"/>
        </w:rPr>
        <w:t>cash floor. Your earnings cannot drop below your cash floor during your transition period</w:t>
      </w:r>
      <w:r w:rsidR="00FC2408" w:rsidRPr="00D23F53">
        <w:rPr>
          <w:rFonts w:ascii="DINOT" w:hAnsi="DINOT" w:cs="DINOT"/>
          <w:szCs w:val="24"/>
        </w:rPr>
        <w:t xml:space="preserve">, </w:t>
      </w:r>
      <w:r w:rsidR="00EC1A9E" w:rsidRPr="00D23F53">
        <w:rPr>
          <w:rFonts w:ascii="DINOT" w:hAnsi="DINOT" w:cs="DINOT"/>
          <w:szCs w:val="24"/>
        </w:rPr>
        <w:t>unless of course you leave your training programme</w:t>
      </w:r>
      <w:r w:rsidRPr="00D23F53">
        <w:rPr>
          <w:rFonts w:ascii="DINOT" w:hAnsi="DINOT" w:cs="DINOT"/>
          <w:szCs w:val="24"/>
        </w:rPr>
        <w:t xml:space="preserve">. </w:t>
      </w:r>
      <w:r w:rsidR="0071771C" w:rsidRPr="00D23F53">
        <w:rPr>
          <w:rFonts w:ascii="DINOT" w:hAnsi="DINOT" w:cs="DINOT"/>
          <w:szCs w:val="24"/>
        </w:rPr>
        <w:t xml:space="preserve"> </w:t>
      </w:r>
      <w:r w:rsidR="00C54630" w:rsidRPr="00D23F53">
        <w:rPr>
          <w:rFonts w:ascii="DINOT" w:hAnsi="DINOT" w:cs="DINOT"/>
          <w:szCs w:val="24"/>
        </w:rPr>
        <w:t>Your cash floor figure will be pro-rated upwards or downwards if you subsequently change your whole time equivalent.</w:t>
      </w:r>
    </w:p>
    <w:p w14:paraId="7C61A155" w14:textId="77777777" w:rsidR="0071771C" w:rsidRPr="00D23F53" w:rsidRDefault="0071771C" w:rsidP="0071771C">
      <w:pPr>
        <w:spacing w:after="0"/>
        <w:rPr>
          <w:rFonts w:ascii="DINOT" w:hAnsi="DINOT" w:cs="DINOT"/>
          <w:szCs w:val="24"/>
        </w:rPr>
      </w:pPr>
    </w:p>
    <w:p w14:paraId="48772E3E" w14:textId="4E3744C0" w:rsidR="0071771C" w:rsidRPr="00D23F53" w:rsidRDefault="0071771C" w:rsidP="0071771C">
      <w:pPr>
        <w:spacing w:after="0"/>
        <w:rPr>
          <w:rFonts w:ascii="DINOT" w:hAnsi="DINOT" w:cs="DINOT"/>
          <w:i/>
          <w:szCs w:val="24"/>
        </w:rPr>
      </w:pPr>
      <w:r w:rsidRPr="00D23F53">
        <w:rPr>
          <w:rFonts w:ascii="DINOT" w:hAnsi="DINOT" w:cs="DINOT"/>
          <w:i/>
          <w:szCs w:val="24"/>
        </w:rPr>
        <w:t xml:space="preserve">Note – if you are on the 2016 contract and eligible for pay protection under Schedule 14 </w:t>
      </w:r>
      <w:r w:rsidRPr="006E6842">
        <w:rPr>
          <w:rFonts w:ascii="DINOT" w:hAnsi="DINOT" w:cs="DINOT"/>
          <w:i/>
          <w:szCs w:val="24"/>
        </w:rPr>
        <w:t>section 2</w:t>
      </w:r>
      <w:r w:rsidRPr="00D23F53">
        <w:rPr>
          <w:rFonts w:ascii="DINOT" w:hAnsi="DINOT" w:cs="DINOT"/>
          <w:i/>
          <w:szCs w:val="24"/>
        </w:rPr>
        <w:t xml:space="preserve">, </w:t>
      </w:r>
      <w:r w:rsidR="00FC2408" w:rsidRPr="00D23F53">
        <w:rPr>
          <w:rFonts w:ascii="DINOT" w:hAnsi="DINOT" w:cs="DINOT"/>
          <w:i/>
          <w:szCs w:val="24"/>
        </w:rPr>
        <w:t xml:space="preserve">during transition </w:t>
      </w:r>
      <w:r w:rsidRPr="00D23F53">
        <w:rPr>
          <w:rFonts w:ascii="DINOT" w:hAnsi="DINOT" w:cs="DINOT"/>
          <w:i/>
          <w:szCs w:val="24"/>
        </w:rPr>
        <w:t>you will continue to be paid on the old MN37 pay scale and receive a banding supplement, so th</w:t>
      </w:r>
      <w:r w:rsidR="00673A2F" w:rsidRPr="00D23F53">
        <w:rPr>
          <w:rFonts w:ascii="DINOT" w:hAnsi="DINOT" w:cs="DINOT"/>
          <w:i/>
          <w:szCs w:val="24"/>
        </w:rPr>
        <w:t xml:space="preserve">e cash floor </w:t>
      </w:r>
      <w:r w:rsidRPr="00D23F53">
        <w:rPr>
          <w:rFonts w:ascii="DINOT" w:hAnsi="DINOT" w:cs="DINOT"/>
          <w:i/>
          <w:szCs w:val="24"/>
        </w:rPr>
        <w:t>is not relevant to you.</w:t>
      </w:r>
    </w:p>
    <w:p w14:paraId="1F35DDD0" w14:textId="77777777" w:rsidR="0071771C" w:rsidRPr="00D23F53" w:rsidRDefault="0071771C" w:rsidP="0071771C">
      <w:pPr>
        <w:spacing w:after="0"/>
        <w:rPr>
          <w:rFonts w:ascii="DINOT" w:hAnsi="DINOT" w:cs="DINOT"/>
          <w:szCs w:val="24"/>
        </w:rPr>
      </w:pPr>
    </w:p>
    <w:p w14:paraId="733090D1" w14:textId="0C65E0D6" w:rsidR="00E65459" w:rsidRPr="00D23F53" w:rsidRDefault="008D14E9" w:rsidP="0071771C">
      <w:pPr>
        <w:spacing w:after="0"/>
        <w:rPr>
          <w:rFonts w:ascii="DINOT" w:hAnsi="DINOT" w:cs="DINOT"/>
          <w:szCs w:val="24"/>
        </w:rPr>
      </w:pPr>
      <w:r w:rsidRPr="00D23F53">
        <w:rPr>
          <w:rFonts w:ascii="DINOT" w:hAnsi="DINOT" w:cs="DINOT"/>
          <w:szCs w:val="24"/>
        </w:rPr>
        <w:t>Transitional arrangements will expire four years after you start on the 2016 contract</w:t>
      </w:r>
      <w:r w:rsidR="0071771C" w:rsidRPr="00D23F53">
        <w:rPr>
          <w:rFonts w:ascii="DINOT" w:hAnsi="DINOT" w:cs="DINOT"/>
          <w:szCs w:val="24"/>
        </w:rPr>
        <w:t>,</w:t>
      </w:r>
      <w:r w:rsidR="00D23F53">
        <w:rPr>
          <w:rFonts w:ascii="DINOT" w:hAnsi="DINOT" w:cs="DINOT"/>
          <w:szCs w:val="24"/>
        </w:rPr>
        <w:t xml:space="preserve"> or</w:t>
      </w:r>
      <w:r w:rsidRPr="00D23F53">
        <w:rPr>
          <w:rFonts w:ascii="DINOT" w:hAnsi="DINOT" w:cs="DINOT"/>
          <w:szCs w:val="24"/>
        </w:rPr>
        <w:t xml:space="preserve"> on 3 August 2022, whichever is sooner.</w:t>
      </w:r>
      <w:r w:rsidR="0071771C" w:rsidRPr="00D23F53">
        <w:rPr>
          <w:rFonts w:ascii="DINOT" w:hAnsi="DINOT" w:cs="DINOT"/>
          <w:szCs w:val="24"/>
        </w:rPr>
        <w:t xml:space="preserve"> Schedule 14 details how you </w:t>
      </w:r>
      <w:r w:rsidR="00EC1A9E" w:rsidRPr="00D23F53">
        <w:rPr>
          <w:rFonts w:ascii="DINOT" w:hAnsi="DINOT" w:cs="DINOT"/>
          <w:szCs w:val="24"/>
        </w:rPr>
        <w:t xml:space="preserve">may </w:t>
      </w:r>
      <w:r w:rsidR="006D043C" w:rsidRPr="00D23F53">
        <w:rPr>
          <w:rFonts w:ascii="DINOT" w:hAnsi="DINOT" w:cs="DINOT"/>
          <w:szCs w:val="24"/>
        </w:rPr>
        <w:t xml:space="preserve">be in transition </w:t>
      </w:r>
      <w:r w:rsidR="00EC1A9E" w:rsidRPr="00D23F53">
        <w:rPr>
          <w:rFonts w:ascii="DINOT" w:hAnsi="DINOT" w:cs="DINOT"/>
          <w:szCs w:val="24"/>
        </w:rPr>
        <w:t xml:space="preserve">more than </w:t>
      </w:r>
      <w:r w:rsidR="0071771C" w:rsidRPr="00D23F53">
        <w:rPr>
          <w:rFonts w:ascii="DINOT" w:hAnsi="DINOT" w:cs="DINOT"/>
          <w:szCs w:val="24"/>
        </w:rPr>
        <w:t xml:space="preserve">four years </w:t>
      </w:r>
      <w:r w:rsidR="00EC1A9E" w:rsidRPr="00D23F53">
        <w:rPr>
          <w:rFonts w:ascii="DINOT" w:hAnsi="DINOT" w:cs="DINOT"/>
          <w:szCs w:val="24"/>
        </w:rPr>
        <w:t>i</w:t>
      </w:r>
      <w:r w:rsidR="0071771C" w:rsidRPr="00D23F53">
        <w:rPr>
          <w:rFonts w:ascii="DINOT" w:hAnsi="DINOT" w:cs="DINOT"/>
          <w:szCs w:val="24"/>
        </w:rPr>
        <w:t xml:space="preserve">f you are </w:t>
      </w:r>
      <w:r w:rsidR="00D23F53">
        <w:rPr>
          <w:rFonts w:ascii="DINOT" w:hAnsi="DINOT" w:cs="DINOT"/>
          <w:szCs w:val="24"/>
        </w:rPr>
        <w:t>less than full time (</w:t>
      </w:r>
      <w:r w:rsidR="0071771C" w:rsidRPr="00D23F53">
        <w:rPr>
          <w:rFonts w:ascii="DINOT" w:hAnsi="DINOT" w:cs="DINOT"/>
          <w:szCs w:val="24"/>
        </w:rPr>
        <w:t>LTFT</w:t>
      </w:r>
      <w:r w:rsidR="00D23F53">
        <w:rPr>
          <w:rFonts w:ascii="DINOT" w:hAnsi="DINOT" w:cs="DINOT"/>
          <w:szCs w:val="24"/>
        </w:rPr>
        <w:t>)</w:t>
      </w:r>
      <w:r w:rsidR="0071771C" w:rsidRPr="00D23F53">
        <w:rPr>
          <w:rFonts w:ascii="DINOT" w:hAnsi="DINOT" w:cs="DINOT"/>
          <w:szCs w:val="24"/>
        </w:rPr>
        <w:t>, or have time absent from training for specific reasons. Regardless of any extension, transition will end on 3 August 2022</w:t>
      </w:r>
      <w:r w:rsidR="00EC1A9E" w:rsidRPr="00D23F53">
        <w:rPr>
          <w:rFonts w:ascii="DINOT" w:hAnsi="DINOT" w:cs="DINOT"/>
          <w:szCs w:val="24"/>
        </w:rPr>
        <w:t>, unless there is an agreement nationally to extend this end date</w:t>
      </w:r>
      <w:r w:rsidR="00FC0599" w:rsidRPr="00D23F53">
        <w:rPr>
          <w:rFonts w:ascii="DINOT" w:hAnsi="DINOT" w:cs="DINOT"/>
          <w:szCs w:val="24"/>
        </w:rPr>
        <w:t>.</w:t>
      </w:r>
      <w:r w:rsidR="00FC2408" w:rsidRPr="00D23F53">
        <w:rPr>
          <w:rFonts w:ascii="DINOT" w:hAnsi="DINOT" w:cs="DINOT"/>
          <w:szCs w:val="24"/>
        </w:rPr>
        <w:t xml:space="preserve"> </w:t>
      </w:r>
      <w:r w:rsidR="00E65459" w:rsidRPr="00D23F53">
        <w:rPr>
          <w:rFonts w:ascii="DINOT" w:hAnsi="DINOT" w:cs="DINOT"/>
          <w:szCs w:val="24"/>
        </w:rPr>
        <w:t>Your individual transition end date is as follows:</w:t>
      </w:r>
    </w:p>
    <w:p w14:paraId="29309278" w14:textId="77777777" w:rsidR="00E65459" w:rsidRPr="00D23F53" w:rsidRDefault="00E65459" w:rsidP="0071771C">
      <w:pPr>
        <w:spacing w:after="0"/>
        <w:rPr>
          <w:rFonts w:ascii="DINOT" w:hAnsi="DINOT" w:cs="DINOT"/>
          <w:szCs w:val="24"/>
        </w:rPr>
      </w:pPr>
    </w:p>
    <w:tbl>
      <w:tblPr>
        <w:tblStyle w:val="TableGrid"/>
        <w:tblW w:w="0" w:type="auto"/>
        <w:tblLook w:val="04A0" w:firstRow="1" w:lastRow="0" w:firstColumn="1" w:lastColumn="0" w:noHBand="0" w:noVBand="1"/>
      </w:tblPr>
      <w:tblGrid>
        <w:gridCol w:w="8217"/>
        <w:gridCol w:w="1865"/>
      </w:tblGrid>
      <w:tr w:rsidR="00E65459" w:rsidRPr="00D23F53" w14:paraId="7B3C87A5" w14:textId="77777777" w:rsidTr="00FC2408">
        <w:tc>
          <w:tcPr>
            <w:tcW w:w="8217" w:type="dxa"/>
          </w:tcPr>
          <w:p w14:paraId="476FD8D7" w14:textId="77777777" w:rsidR="00E65459" w:rsidRPr="00D23F53" w:rsidRDefault="00E65459" w:rsidP="0071771C">
            <w:pPr>
              <w:rPr>
                <w:rFonts w:ascii="DINOT" w:hAnsi="DINOT" w:cs="DINOT"/>
                <w:szCs w:val="24"/>
              </w:rPr>
            </w:pPr>
            <w:r w:rsidRPr="00D23F53">
              <w:rPr>
                <w:rFonts w:ascii="DINOT" w:hAnsi="DINOT" w:cs="DINOT"/>
                <w:szCs w:val="24"/>
              </w:rPr>
              <w:t>You first started on the 2016 contract on:</w:t>
            </w:r>
          </w:p>
        </w:tc>
        <w:tc>
          <w:tcPr>
            <w:tcW w:w="1865" w:type="dxa"/>
          </w:tcPr>
          <w:p w14:paraId="28DE8261" w14:textId="77777777" w:rsidR="00E65459" w:rsidRPr="00D23F53" w:rsidRDefault="00E65459" w:rsidP="0071771C">
            <w:pPr>
              <w:rPr>
                <w:rFonts w:ascii="DINOT" w:hAnsi="DINOT" w:cs="DINOT"/>
                <w:szCs w:val="24"/>
              </w:rPr>
            </w:pPr>
            <w:r w:rsidRPr="00D23F53">
              <w:rPr>
                <w:rFonts w:ascii="DINOT" w:hAnsi="DINOT" w:cs="DINOT"/>
                <w:szCs w:val="24"/>
              </w:rPr>
              <w:t>[insert start date]</w:t>
            </w:r>
          </w:p>
        </w:tc>
      </w:tr>
      <w:tr w:rsidR="00E65459" w:rsidRPr="00D23F53" w14:paraId="514E5300" w14:textId="77777777" w:rsidTr="00FC2408">
        <w:tc>
          <w:tcPr>
            <w:tcW w:w="8217" w:type="dxa"/>
          </w:tcPr>
          <w:p w14:paraId="5C2CBEEC" w14:textId="016DE43C" w:rsidR="00E65459" w:rsidRPr="00D23F53" w:rsidRDefault="00E65459" w:rsidP="00182CF0">
            <w:pPr>
              <w:rPr>
                <w:rFonts w:ascii="DINOT" w:hAnsi="DINOT" w:cs="DINOT"/>
                <w:szCs w:val="24"/>
              </w:rPr>
            </w:pPr>
            <w:r w:rsidRPr="00D23F53">
              <w:rPr>
                <w:rFonts w:ascii="DINOT" w:hAnsi="DINOT" w:cs="DINOT"/>
                <w:szCs w:val="24"/>
              </w:rPr>
              <w:t>Taking in to account the transition backstop date of 3 August 2022, your four years of transition (including any extension for LTFT and any time absent in line with the TCS) will expire on:</w:t>
            </w:r>
          </w:p>
        </w:tc>
        <w:tc>
          <w:tcPr>
            <w:tcW w:w="1865" w:type="dxa"/>
          </w:tcPr>
          <w:p w14:paraId="3BA558D9" w14:textId="77777777" w:rsidR="00E65459" w:rsidRPr="00D23F53" w:rsidRDefault="00E65459" w:rsidP="0071771C">
            <w:pPr>
              <w:rPr>
                <w:rFonts w:ascii="DINOT" w:hAnsi="DINOT" w:cs="DINOT"/>
                <w:szCs w:val="24"/>
              </w:rPr>
            </w:pPr>
            <w:r w:rsidRPr="00D23F53">
              <w:rPr>
                <w:rFonts w:ascii="DINOT" w:hAnsi="DINOT" w:cs="DINOT"/>
                <w:szCs w:val="24"/>
              </w:rPr>
              <w:t>[insert transition end date]</w:t>
            </w:r>
          </w:p>
        </w:tc>
      </w:tr>
    </w:tbl>
    <w:p w14:paraId="44D2FC7E" w14:textId="77777777" w:rsidR="00E65459" w:rsidRPr="00D23F53" w:rsidRDefault="00E65459" w:rsidP="0071771C">
      <w:pPr>
        <w:spacing w:after="0"/>
        <w:rPr>
          <w:rFonts w:ascii="DINOT" w:hAnsi="DINOT" w:cs="DINOT"/>
          <w:szCs w:val="24"/>
        </w:rPr>
      </w:pPr>
    </w:p>
    <w:p w14:paraId="6D2D5147" w14:textId="7AE47A21" w:rsidR="00E65459" w:rsidRPr="00D23F53" w:rsidRDefault="00E65459" w:rsidP="0071771C">
      <w:pPr>
        <w:spacing w:after="0"/>
        <w:rPr>
          <w:rFonts w:ascii="DINOT" w:hAnsi="DINOT" w:cs="DINOT"/>
          <w:szCs w:val="24"/>
        </w:rPr>
      </w:pPr>
      <w:r w:rsidRPr="00D23F53">
        <w:rPr>
          <w:rFonts w:ascii="DINOT" w:hAnsi="DINOT" w:cs="DINOT"/>
          <w:szCs w:val="24"/>
        </w:rPr>
        <w:t xml:space="preserve">Note </w:t>
      </w:r>
      <w:r w:rsidR="00FC2408" w:rsidRPr="00D23F53">
        <w:rPr>
          <w:rFonts w:ascii="DINOT" w:hAnsi="DINOT" w:cs="DINOT"/>
          <w:szCs w:val="24"/>
        </w:rPr>
        <w:t xml:space="preserve">- </w:t>
      </w:r>
      <w:r w:rsidRPr="00D23F53">
        <w:rPr>
          <w:rFonts w:ascii="DINOT" w:hAnsi="DINOT" w:cs="DINOT"/>
          <w:szCs w:val="24"/>
        </w:rPr>
        <w:t>this date may change if you subsequently become LTFT or change your LTFT percentage commitment, or if you have time absent as described in the TCS.</w:t>
      </w:r>
    </w:p>
    <w:p w14:paraId="7E93F305" w14:textId="77777777" w:rsidR="00E65459" w:rsidRPr="00D23F53" w:rsidRDefault="00E65459" w:rsidP="0071771C">
      <w:pPr>
        <w:spacing w:after="0"/>
        <w:rPr>
          <w:rFonts w:ascii="DINOT" w:hAnsi="DINOT" w:cs="DINOT"/>
          <w:szCs w:val="24"/>
        </w:rPr>
      </w:pPr>
    </w:p>
    <w:p w14:paraId="0CDF0C1E" w14:textId="77777777" w:rsidR="00B70C34" w:rsidRPr="00D23F53" w:rsidRDefault="008D14E9" w:rsidP="0071771C">
      <w:pPr>
        <w:spacing w:after="0"/>
        <w:rPr>
          <w:rFonts w:ascii="DINOT" w:hAnsi="DINOT" w:cs="DINOT"/>
          <w:szCs w:val="24"/>
        </w:rPr>
      </w:pPr>
      <w:r w:rsidRPr="00D23F53">
        <w:rPr>
          <w:rFonts w:ascii="DINOT" w:hAnsi="DINOT" w:cs="DINOT"/>
          <w:szCs w:val="24"/>
        </w:rPr>
        <w:t xml:space="preserve">Your individual cash floor has been calculated </w:t>
      </w:r>
      <w:r w:rsidR="0071771C" w:rsidRPr="00D23F53">
        <w:rPr>
          <w:rFonts w:ascii="DINOT" w:hAnsi="DINOT" w:cs="DINOT"/>
          <w:szCs w:val="24"/>
        </w:rPr>
        <w:t xml:space="preserve">according to Schedule 14 of the terms and conditions of service, </w:t>
      </w:r>
      <w:r w:rsidRPr="00D23F53">
        <w:rPr>
          <w:rFonts w:ascii="DINOT" w:hAnsi="DINOT" w:cs="DINOT"/>
          <w:szCs w:val="24"/>
        </w:rPr>
        <w:t>as follows:</w:t>
      </w:r>
    </w:p>
    <w:p w14:paraId="63E093C4" w14:textId="77777777" w:rsidR="00FC0599" w:rsidRPr="00D23F53" w:rsidRDefault="00FC0599" w:rsidP="0071771C">
      <w:pPr>
        <w:spacing w:after="0"/>
        <w:rPr>
          <w:rFonts w:ascii="DINOT" w:hAnsi="DINOT" w:cs="DINOT"/>
          <w:szCs w:val="24"/>
        </w:rPr>
      </w:pPr>
    </w:p>
    <w:tbl>
      <w:tblPr>
        <w:tblStyle w:val="TableGrid"/>
        <w:tblW w:w="0" w:type="auto"/>
        <w:tblLook w:val="04A0" w:firstRow="1" w:lastRow="0" w:firstColumn="1" w:lastColumn="0" w:noHBand="0" w:noVBand="1"/>
      </w:tblPr>
      <w:tblGrid>
        <w:gridCol w:w="6658"/>
        <w:gridCol w:w="3424"/>
      </w:tblGrid>
      <w:tr w:rsidR="00FC0599" w:rsidRPr="00D23F53" w14:paraId="7F619212" w14:textId="77777777" w:rsidTr="00FC2408">
        <w:tc>
          <w:tcPr>
            <w:tcW w:w="6658" w:type="dxa"/>
          </w:tcPr>
          <w:p w14:paraId="3991C13C" w14:textId="77777777" w:rsidR="00FC0599" w:rsidRPr="00D23F53" w:rsidRDefault="00FC0599" w:rsidP="00FC0599">
            <w:pPr>
              <w:rPr>
                <w:rFonts w:ascii="DINOT" w:hAnsi="DINOT" w:cs="DINOT"/>
                <w:szCs w:val="24"/>
              </w:rPr>
            </w:pPr>
            <w:r w:rsidRPr="00D23F53">
              <w:rPr>
                <w:rFonts w:ascii="DINOT" w:hAnsi="DINOT" w:cs="DINOT"/>
                <w:szCs w:val="24"/>
              </w:rPr>
              <w:t>Your salary on the 2002 contract the day before you started on the 2016 contract was:</w:t>
            </w:r>
          </w:p>
        </w:tc>
        <w:tc>
          <w:tcPr>
            <w:tcW w:w="3424" w:type="dxa"/>
          </w:tcPr>
          <w:p w14:paraId="27AEFE61" w14:textId="77777777" w:rsidR="00FC0599" w:rsidRPr="00D23F53" w:rsidRDefault="00FC0599" w:rsidP="0071771C">
            <w:pPr>
              <w:rPr>
                <w:rFonts w:ascii="DINOT" w:hAnsi="DINOT" w:cs="DINOT"/>
                <w:szCs w:val="24"/>
              </w:rPr>
            </w:pPr>
            <w:r w:rsidRPr="00D23F53">
              <w:rPr>
                <w:rFonts w:ascii="DINOT" w:hAnsi="DINOT" w:cs="DINOT"/>
                <w:szCs w:val="24"/>
              </w:rPr>
              <w:t>[XX,XXX] (A)</w:t>
            </w:r>
          </w:p>
        </w:tc>
      </w:tr>
      <w:tr w:rsidR="00FC0599" w:rsidRPr="00D23F53" w14:paraId="7627DA9C" w14:textId="77777777" w:rsidTr="00FC2408">
        <w:tc>
          <w:tcPr>
            <w:tcW w:w="6658" w:type="dxa"/>
          </w:tcPr>
          <w:p w14:paraId="5D2DBDA4" w14:textId="1E7C5350" w:rsidR="00041DEF" w:rsidRPr="00D23F53" w:rsidRDefault="00FC0599" w:rsidP="00FC0599">
            <w:pPr>
              <w:rPr>
                <w:rFonts w:ascii="DINOT" w:hAnsi="DINOT" w:cs="DINOT"/>
                <w:szCs w:val="24"/>
              </w:rPr>
            </w:pPr>
            <w:r w:rsidRPr="00D23F53">
              <w:rPr>
                <w:rFonts w:ascii="DINOT" w:hAnsi="DINOT" w:cs="DINOT"/>
                <w:szCs w:val="24"/>
              </w:rPr>
              <w:t>The rota you were working on the day before you started on the 2016 contract was:</w:t>
            </w:r>
          </w:p>
        </w:tc>
        <w:tc>
          <w:tcPr>
            <w:tcW w:w="3424" w:type="dxa"/>
          </w:tcPr>
          <w:p w14:paraId="3ED11538" w14:textId="77777777" w:rsidR="00FC0599" w:rsidRPr="00D23F53" w:rsidRDefault="00FC0599" w:rsidP="0071771C">
            <w:pPr>
              <w:rPr>
                <w:rFonts w:ascii="DINOT" w:hAnsi="DINOT" w:cs="DINOT"/>
                <w:szCs w:val="24"/>
              </w:rPr>
            </w:pPr>
            <w:r w:rsidRPr="00D23F53">
              <w:rPr>
                <w:rFonts w:ascii="DINOT" w:hAnsi="DINOT" w:cs="DINOT"/>
                <w:szCs w:val="24"/>
              </w:rPr>
              <w:t>[insert name/description of rota]</w:t>
            </w:r>
          </w:p>
        </w:tc>
      </w:tr>
      <w:tr w:rsidR="00FC0599" w:rsidRPr="00D23F53" w14:paraId="29E21319" w14:textId="77777777" w:rsidTr="00FC2408">
        <w:tc>
          <w:tcPr>
            <w:tcW w:w="6658" w:type="dxa"/>
          </w:tcPr>
          <w:p w14:paraId="71FA87A2" w14:textId="727F36F8" w:rsidR="00FC0599" w:rsidRPr="00D23F53" w:rsidRDefault="00FC0599" w:rsidP="00041DEF">
            <w:pPr>
              <w:rPr>
                <w:rFonts w:ascii="DINOT" w:hAnsi="DINOT" w:cs="DINOT"/>
                <w:szCs w:val="24"/>
              </w:rPr>
            </w:pPr>
            <w:r w:rsidRPr="00D23F53">
              <w:rPr>
                <w:rFonts w:ascii="DINOT" w:hAnsi="DINOT" w:cs="DINOT"/>
                <w:szCs w:val="24"/>
              </w:rPr>
              <w:t>The banding of this rota on 31 October 2015 was</w:t>
            </w:r>
            <w:r w:rsidR="00041DEF" w:rsidRPr="00D23F53">
              <w:rPr>
                <w:rFonts w:ascii="DINOT" w:hAnsi="DINOT" w:cs="DINOT"/>
                <w:szCs w:val="24"/>
              </w:rPr>
              <w:t>*</w:t>
            </w:r>
            <w:r w:rsidRPr="00D23F53">
              <w:rPr>
                <w:rFonts w:ascii="DINOT" w:hAnsi="DINOT" w:cs="DINOT"/>
                <w:szCs w:val="24"/>
              </w:rPr>
              <w:t>:</w:t>
            </w:r>
          </w:p>
        </w:tc>
        <w:tc>
          <w:tcPr>
            <w:tcW w:w="3424" w:type="dxa"/>
          </w:tcPr>
          <w:p w14:paraId="33324086" w14:textId="77777777" w:rsidR="00FC0599" w:rsidRPr="00D23F53" w:rsidRDefault="00FC0599" w:rsidP="0071771C">
            <w:pPr>
              <w:rPr>
                <w:rFonts w:ascii="DINOT" w:hAnsi="DINOT" w:cs="DINOT"/>
                <w:szCs w:val="24"/>
              </w:rPr>
            </w:pPr>
            <w:r w:rsidRPr="00D23F53">
              <w:rPr>
                <w:rFonts w:ascii="DINOT" w:hAnsi="DINOT" w:cs="DINOT"/>
                <w:szCs w:val="24"/>
              </w:rPr>
              <w:t>[insert banding e.g. 1A 50%] (B)</w:t>
            </w:r>
          </w:p>
        </w:tc>
      </w:tr>
      <w:tr w:rsidR="00FC0599" w:rsidRPr="00D23F53" w14:paraId="387461FC" w14:textId="77777777" w:rsidTr="00FC2408">
        <w:tc>
          <w:tcPr>
            <w:tcW w:w="6658" w:type="dxa"/>
          </w:tcPr>
          <w:p w14:paraId="61036552" w14:textId="77777777" w:rsidR="00FC0599" w:rsidRPr="00D23F53" w:rsidRDefault="00FC0599" w:rsidP="00FC0599">
            <w:pPr>
              <w:rPr>
                <w:rFonts w:ascii="DINOT" w:hAnsi="DINOT" w:cs="DINOT"/>
                <w:szCs w:val="24"/>
              </w:rPr>
            </w:pPr>
            <w:r w:rsidRPr="00D23F53">
              <w:rPr>
                <w:rFonts w:ascii="DINOT" w:hAnsi="DINOT" w:cs="DINOT"/>
                <w:szCs w:val="24"/>
              </w:rPr>
              <w:t>This banding equates to a cash amount of:</w:t>
            </w:r>
          </w:p>
        </w:tc>
        <w:tc>
          <w:tcPr>
            <w:tcW w:w="3424" w:type="dxa"/>
          </w:tcPr>
          <w:p w14:paraId="5A52E051" w14:textId="3C794269" w:rsidR="00FC0599" w:rsidRPr="00D23F53" w:rsidRDefault="00FC0599" w:rsidP="00FC0599">
            <w:pPr>
              <w:rPr>
                <w:rFonts w:ascii="DINOT" w:hAnsi="DINOT" w:cs="DINOT"/>
                <w:szCs w:val="24"/>
              </w:rPr>
            </w:pPr>
            <w:r w:rsidRPr="00D23F53">
              <w:rPr>
                <w:rFonts w:ascii="DINOT" w:hAnsi="DINOT" w:cs="DINOT"/>
                <w:szCs w:val="24"/>
              </w:rPr>
              <w:t>A x B</w:t>
            </w:r>
            <w:r w:rsidR="001C0B90">
              <w:rPr>
                <w:rFonts w:ascii="DINOT" w:hAnsi="DINOT" w:cs="DINOT"/>
                <w:szCs w:val="24"/>
              </w:rPr>
              <w:t>%</w:t>
            </w:r>
            <w:r w:rsidRPr="00D23F53">
              <w:rPr>
                <w:rFonts w:ascii="DINOT" w:hAnsi="DINOT" w:cs="DINOT"/>
                <w:szCs w:val="24"/>
              </w:rPr>
              <w:t xml:space="preserve"> = C</w:t>
            </w:r>
          </w:p>
        </w:tc>
      </w:tr>
      <w:tr w:rsidR="00FC0599" w:rsidRPr="00D23F53" w14:paraId="3823EAB4" w14:textId="77777777" w:rsidTr="00FC2408">
        <w:tc>
          <w:tcPr>
            <w:tcW w:w="6658" w:type="dxa"/>
          </w:tcPr>
          <w:p w14:paraId="63DFE33A" w14:textId="77777777" w:rsidR="00FC0599" w:rsidRPr="00D23F53" w:rsidRDefault="00FC0599" w:rsidP="00FC0599">
            <w:pPr>
              <w:rPr>
                <w:rFonts w:ascii="DINOT" w:hAnsi="DINOT" w:cs="DINOT"/>
                <w:b/>
                <w:szCs w:val="24"/>
              </w:rPr>
            </w:pPr>
            <w:r w:rsidRPr="00D23F53">
              <w:rPr>
                <w:rFonts w:ascii="DINOT" w:hAnsi="DINOT" w:cs="DINOT"/>
                <w:b/>
                <w:szCs w:val="24"/>
              </w:rPr>
              <w:t>Therefore, your individual cash floor is:</w:t>
            </w:r>
          </w:p>
        </w:tc>
        <w:tc>
          <w:tcPr>
            <w:tcW w:w="3424" w:type="dxa"/>
          </w:tcPr>
          <w:p w14:paraId="1F1D0A61" w14:textId="77777777" w:rsidR="00FC0599" w:rsidRPr="00D23F53" w:rsidRDefault="00FC0599" w:rsidP="0071771C">
            <w:pPr>
              <w:rPr>
                <w:rFonts w:ascii="DINOT" w:hAnsi="DINOT" w:cs="DINOT"/>
                <w:b/>
                <w:szCs w:val="24"/>
              </w:rPr>
            </w:pPr>
            <w:r w:rsidRPr="00D23F53">
              <w:rPr>
                <w:rFonts w:ascii="DINOT" w:hAnsi="DINOT" w:cs="DINOT"/>
                <w:b/>
                <w:szCs w:val="24"/>
              </w:rPr>
              <w:t>A + C</w:t>
            </w:r>
          </w:p>
        </w:tc>
      </w:tr>
      <w:tr w:rsidR="00FE4E29" w:rsidRPr="00D23F53" w14:paraId="631F5E23" w14:textId="77777777" w:rsidTr="00FC2408">
        <w:tc>
          <w:tcPr>
            <w:tcW w:w="6658" w:type="dxa"/>
          </w:tcPr>
          <w:p w14:paraId="54EFCF76" w14:textId="77777777" w:rsidR="00FE4E29" w:rsidRPr="00D23F53" w:rsidRDefault="00FE4E29" w:rsidP="00FC0599">
            <w:pPr>
              <w:rPr>
                <w:rFonts w:ascii="DINOT" w:hAnsi="DINOT" w:cs="DINOT"/>
                <w:szCs w:val="24"/>
              </w:rPr>
            </w:pPr>
            <w:r w:rsidRPr="00D23F53">
              <w:rPr>
                <w:rFonts w:ascii="DINOT" w:hAnsi="DINOT" w:cs="DINOT"/>
                <w:szCs w:val="24"/>
              </w:rPr>
              <w:t>As a monthly figure (divided by 12), your cash floor is:</w:t>
            </w:r>
          </w:p>
          <w:p w14:paraId="0EF6B411" w14:textId="77777777" w:rsidR="00182CF0" w:rsidRPr="00D23F53" w:rsidRDefault="00182CF0" w:rsidP="00FC0599">
            <w:pPr>
              <w:rPr>
                <w:rFonts w:ascii="DINOT" w:hAnsi="DINOT" w:cs="DINOT"/>
                <w:szCs w:val="24"/>
              </w:rPr>
            </w:pPr>
            <w:r w:rsidRPr="00D23F53">
              <w:rPr>
                <w:rFonts w:ascii="DINOT" w:hAnsi="DINOT" w:cs="DINOT"/>
                <w:szCs w:val="24"/>
              </w:rPr>
              <w:t>(if you start work part way through a month, your cash floor for that month will be pro-rata to the amount of the full month worked)</w:t>
            </w:r>
          </w:p>
        </w:tc>
        <w:tc>
          <w:tcPr>
            <w:tcW w:w="3424" w:type="dxa"/>
          </w:tcPr>
          <w:p w14:paraId="2966AD9E" w14:textId="77777777" w:rsidR="00FE4E29" w:rsidRPr="00D23F53" w:rsidRDefault="00FE4E29" w:rsidP="0071771C">
            <w:pPr>
              <w:rPr>
                <w:rFonts w:ascii="DINOT" w:hAnsi="DINOT" w:cs="DINOT"/>
                <w:szCs w:val="24"/>
              </w:rPr>
            </w:pPr>
            <w:r w:rsidRPr="00D23F53">
              <w:rPr>
                <w:rFonts w:ascii="DINOT" w:hAnsi="DINOT" w:cs="DINOT"/>
                <w:szCs w:val="24"/>
              </w:rPr>
              <w:t>(A + C) / 12</w:t>
            </w:r>
          </w:p>
        </w:tc>
      </w:tr>
    </w:tbl>
    <w:p w14:paraId="2F8947B5" w14:textId="77777777" w:rsidR="00D23F53" w:rsidRDefault="00D23F53" w:rsidP="00EC1A9E">
      <w:pPr>
        <w:spacing w:after="0"/>
        <w:rPr>
          <w:rFonts w:ascii="DINOT" w:hAnsi="DINOT" w:cs="DINOT"/>
          <w:i/>
          <w:szCs w:val="24"/>
        </w:rPr>
      </w:pPr>
    </w:p>
    <w:p w14:paraId="2294F80F" w14:textId="4935AA25" w:rsidR="00041DEF" w:rsidRPr="00D23F53" w:rsidRDefault="00B70C34" w:rsidP="00EC1A9E">
      <w:pPr>
        <w:spacing w:after="0"/>
        <w:rPr>
          <w:rFonts w:ascii="DINOT" w:hAnsi="DINOT" w:cs="DINOT"/>
          <w:i/>
          <w:szCs w:val="24"/>
        </w:rPr>
      </w:pPr>
      <w:r w:rsidRPr="00D23F53">
        <w:rPr>
          <w:rFonts w:ascii="DINOT" w:hAnsi="DINOT" w:cs="DINOT"/>
          <w:i/>
          <w:szCs w:val="24"/>
        </w:rPr>
        <w:t>*</w:t>
      </w:r>
      <w:r w:rsidR="00EC1A9E" w:rsidRPr="00D23F53">
        <w:rPr>
          <w:rFonts w:ascii="DINOT" w:hAnsi="DINOT" w:cs="DINOT"/>
          <w:i/>
          <w:szCs w:val="24"/>
        </w:rPr>
        <w:t xml:space="preserve">Note – for this </w:t>
      </w:r>
      <w:r w:rsidR="00D23F53">
        <w:rPr>
          <w:rFonts w:ascii="DINOT" w:hAnsi="DINOT" w:cs="DINOT"/>
          <w:i/>
          <w:szCs w:val="24"/>
        </w:rPr>
        <w:t>purpose banding is capped at 50 per cent</w:t>
      </w:r>
      <w:r w:rsidRPr="00D23F53">
        <w:rPr>
          <w:rFonts w:ascii="DINOT" w:hAnsi="DINOT" w:cs="DINOT"/>
          <w:i/>
          <w:szCs w:val="24"/>
        </w:rPr>
        <w:t xml:space="preserve"> (1A/2B)</w:t>
      </w:r>
      <w:r w:rsidR="00EC1A9E" w:rsidRPr="00D23F53">
        <w:rPr>
          <w:rFonts w:ascii="DINOT" w:hAnsi="DINOT" w:cs="DINOT"/>
          <w:i/>
          <w:szCs w:val="24"/>
        </w:rPr>
        <w:t xml:space="preserve"> </w:t>
      </w:r>
      <w:r w:rsidRPr="00D23F53">
        <w:rPr>
          <w:rFonts w:ascii="DINOT" w:hAnsi="DINOT" w:cs="DINOT"/>
          <w:i/>
          <w:szCs w:val="24"/>
        </w:rPr>
        <w:t>for doctors who were working under 48 hours per week on average, or 80</w:t>
      </w:r>
      <w:r w:rsidR="00D23F53">
        <w:rPr>
          <w:rFonts w:ascii="DINOT" w:hAnsi="DINOT" w:cs="DINOT"/>
          <w:i/>
          <w:szCs w:val="24"/>
        </w:rPr>
        <w:t xml:space="preserve"> per cent</w:t>
      </w:r>
      <w:r w:rsidRPr="00D23F53">
        <w:rPr>
          <w:rFonts w:ascii="DINOT" w:hAnsi="DINOT" w:cs="DINOT"/>
          <w:i/>
          <w:szCs w:val="24"/>
        </w:rPr>
        <w:t xml:space="preserve"> (2A) for doctors who voluntarily opted out of the Working Time Regulations and were working more than 48 hours per week on average.</w:t>
      </w:r>
      <w:r w:rsidR="00041DEF" w:rsidRPr="00D23F53">
        <w:rPr>
          <w:rFonts w:ascii="DINOT" w:hAnsi="DINOT" w:cs="DINOT"/>
          <w:i/>
          <w:szCs w:val="24"/>
        </w:rPr>
        <w:t xml:space="preserve"> If the rota did not exist on 31 October 2015, the applicable banding is the banding that applied on appointment to the rota, subject to the caps above. W</w:t>
      </w:r>
      <w:r w:rsidR="00D23F53">
        <w:rPr>
          <w:rFonts w:ascii="DINOT" w:hAnsi="DINOT" w:cs="DINOT"/>
          <w:i/>
          <w:szCs w:val="24"/>
        </w:rPr>
        <w:t>here a doctor is receiving a 45 per cent</w:t>
      </w:r>
      <w:r w:rsidR="00041DEF" w:rsidRPr="00D23F53">
        <w:rPr>
          <w:rFonts w:ascii="DINOT" w:hAnsi="DINOT" w:cs="DINOT"/>
          <w:i/>
          <w:szCs w:val="24"/>
        </w:rPr>
        <w:t xml:space="preserve"> GP supplement the day before they transition, this will be used in place of any banding supplement.</w:t>
      </w:r>
      <w:r w:rsidRPr="00D23F53">
        <w:rPr>
          <w:rFonts w:ascii="DINOT" w:hAnsi="DINOT" w:cs="DINOT"/>
          <w:i/>
          <w:szCs w:val="24"/>
        </w:rPr>
        <w:t xml:space="preserve"> </w:t>
      </w:r>
    </w:p>
    <w:p w14:paraId="08882CD0" w14:textId="77777777" w:rsidR="00FC2408" w:rsidRPr="00D23F53" w:rsidRDefault="00FC2408" w:rsidP="00EC1A9E">
      <w:pPr>
        <w:spacing w:after="0"/>
        <w:rPr>
          <w:rFonts w:ascii="DINOT" w:hAnsi="DINOT" w:cs="DINOT"/>
          <w:i/>
          <w:szCs w:val="24"/>
        </w:rPr>
      </w:pPr>
    </w:p>
    <w:p w14:paraId="425390D4" w14:textId="305881FC" w:rsidR="00EC1A9E" w:rsidRPr="00D23F53" w:rsidRDefault="00041DEF" w:rsidP="00EC1A9E">
      <w:pPr>
        <w:spacing w:after="0"/>
        <w:rPr>
          <w:rFonts w:ascii="DINOT" w:hAnsi="DINOT" w:cs="DINOT"/>
          <w:i/>
          <w:szCs w:val="24"/>
        </w:rPr>
      </w:pPr>
      <w:r w:rsidRPr="00D23F53">
        <w:rPr>
          <w:rFonts w:ascii="DINOT" w:hAnsi="DINOT" w:cs="DINOT"/>
          <w:i/>
          <w:szCs w:val="24"/>
        </w:rPr>
        <w:t xml:space="preserve">If you were absent at the point of transition (see Schedule 14 para 16 of the TCS) your basic salary will be based on the incremental point you would have reached had you not been absent. </w:t>
      </w:r>
      <w:r w:rsidR="006D043C" w:rsidRPr="00D23F53">
        <w:rPr>
          <w:rFonts w:ascii="DINOT" w:hAnsi="DINOT" w:cs="DINOT"/>
          <w:i/>
          <w:szCs w:val="24"/>
        </w:rPr>
        <w:t>The banding will be based on the value of the banding supplement for the rota that you would have been working on</w:t>
      </w:r>
      <w:r w:rsidR="009C3363">
        <w:rPr>
          <w:rFonts w:ascii="DINOT" w:hAnsi="DINOT" w:cs="DINOT"/>
          <w:i/>
          <w:szCs w:val="24"/>
        </w:rPr>
        <w:t xml:space="preserve"> (</w:t>
      </w:r>
      <w:hyperlink r:id="rId8" w:history="1">
        <w:r w:rsidR="009C3363" w:rsidRPr="009C3363">
          <w:rPr>
            <w:rStyle w:val="Hyperlink"/>
            <w:rFonts w:ascii="DINOT" w:hAnsi="DINOT" w:cs="DINOT"/>
            <w:i/>
            <w:szCs w:val="24"/>
          </w:rPr>
          <w:t>see NHS Employers frequently asked questions</w:t>
        </w:r>
      </w:hyperlink>
      <w:r w:rsidR="006624D8" w:rsidRPr="00D23F53">
        <w:rPr>
          <w:rFonts w:ascii="DINOT" w:hAnsi="DINOT" w:cs="DINOT"/>
          <w:i/>
          <w:szCs w:val="24"/>
        </w:rPr>
        <w:t>)</w:t>
      </w:r>
      <w:r w:rsidR="006D043C" w:rsidRPr="00D23F53">
        <w:rPr>
          <w:rFonts w:ascii="DINOT" w:hAnsi="DINOT" w:cs="DINOT"/>
          <w:i/>
          <w:szCs w:val="24"/>
        </w:rPr>
        <w:t>, as it was in October 2015 subject to the caps above</w:t>
      </w:r>
      <w:r w:rsidR="00D23F53">
        <w:rPr>
          <w:rFonts w:ascii="DINOT" w:hAnsi="DINOT" w:cs="DINOT"/>
          <w:i/>
          <w:szCs w:val="24"/>
        </w:rPr>
        <w:t xml:space="preserve"> of 50 per cent</w:t>
      </w:r>
      <w:r w:rsidR="006624D8" w:rsidRPr="00D23F53">
        <w:rPr>
          <w:rFonts w:ascii="DINOT" w:hAnsi="DINOT" w:cs="DINOT"/>
          <w:i/>
          <w:szCs w:val="24"/>
        </w:rPr>
        <w:t xml:space="preserve"> or 80</w:t>
      </w:r>
      <w:r w:rsidR="00D23F53">
        <w:rPr>
          <w:rFonts w:ascii="DINOT" w:hAnsi="DINOT" w:cs="DINOT"/>
          <w:i/>
          <w:szCs w:val="24"/>
        </w:rPr>
        <w:t xml:space="preserve"> per cent</w:t>
      </w:r>
      <w:r w:rsidR="006D043C" w:rsidRPr="00D23F53">
        <w:rPr>
          <w:rFonts w:ascii="DINOT" w:hAnsi="DINOT" w:cs="DINOT"/>
          <w:i/>
          <w:szCs w:val="24"/>
        </w:rPr>
        <w:t>.</w:t>
      </w:r>
      <w:r w:rsidRPr="00D23F53">
        <w:rPr>
          <w:rFonts w:ascii="DINOT" w:hAnsi="DINOT" w:cs="DINOT"/>
          <w:i/>
          <w:szCs w:val="24"/>
        </w:rPr>
        <w:t xml:space="preserve"> </w:t>
      </w:r>
      <w:r w:rsidR="00EC1A9E" w:rsidRPr="00D23F53">
        <w:rPr>
          <w:rFonts w:ascii="DINOT" w:hAnsi="DINOT" w:cs="DINOT"/>
          <w:i/>
          <w:szCs w:val="24"/>
        </w:rPr>
        <w:t xml:space="preserve"> </w:t>
      </w:r>
    </w:p>
    <w:p w14:paraId="1AE7FF1E" w14:textId="77777777" w:rsidR="00CE3F1E" w:rsidRPr="00D23F53" w:rsidRDefault="00CE3F1E" w:rsidP="00EC1A9E">
      <w:pPr>
        <w:spacing w:after="0"/>
        <w:rPr>
          <w:rFonts w:ascii="DINOT" w:hAnsi="DINOT" w:cs="DINOT"/>
          <w:i/>
          <w:szCs w:val="24"/>
        </w:rPr>
      </w:pPr>
    </w:p>
    <w:p w14:paraId="1737B7A8" w14:textId="75DDF4FA" w:rsidR="008D1B8F" w:rsidRPr="008D1B8F" w:rsidRDefault="006624D8" w:rsidP="008D1B8F">
      <w:pPr>
        <w:spacing w:after="0"/>
        <w:rPr>
          <w:rFonts w:ascii="DINOT" w:hAnsi="DINOT" w:cs="DINOT"/>
          <w:i/>
          <w:szCs w:val="24"/>
        </w:rPr>
      </w:pPr>
      <w:r w:rsidRPr="00D23F53">
        <w:rPr>
          <w:rFonts w:ascii="DINOT" w:hAnsi="DINOT" w:cs="DINOT"/>
          <w:i/>
          <w:szCs w:val="24"/>
        </w:rPr>
        <w:t>I</w:t>
      </w:r>
      <w:r w:rsidR="00CE3F1E" w:rsidRPr="00D23F53">
        <w:rPr>
          <w:rFonts w:ascii="DINOT" w:hAnsi="DINOT" w:cs="DINOT"/>
          <w:i/>
          <w:szCs w:val="24"/>
        </w:rPr>
        <w:t xml:space="preserve">f you were in receipt of pay protection on the 2002 contract under paragraph 132 as a result of returning to training from a national career grade, your cash floor will be </w:t>
      </w:r>
      <w:r w:rsidR="008D1B8F" w:rsidRPr="008D1B8F">
        <w:rPr>
          <w:rFonts w:ascii="DINOT" w:hAnsi="DINOT" w:cs="DINOT"/>
          <w:i/>
          <w:szCs w:val="24"/>
        </w:rPr>
        <w:t xml:space="preserve">either the training grade incremental point which would have </w:t>
      </w:r>
      <w:r w:rsidR="008D1B8F" w:rsidRPr="008D1B8F">
        <w:rPr>
          <w:rFonts w:ascii="DINOT" w:hAnsi="DINOT" w:cs="DINOT"/>
          <w:i/>
          <w:szCs w:val="24"/>
        </w:rPr>
        <w:lastRenderedPageBreak/>
        <w:t>applied the day before transition plus the banding as at 31 October 2015, or your protected career grade basic salar</w:t>
      </w:r>
      <w:r w:rsidR="008D1B8F">
        <w:rPr>
          <w:rFonts w:ascii="DINOT" w:hAnsi="DINOT" w:cs="DINOT"/>
          <w:i/>
          <w:szCs w:val="24"/>
        </w:rPr>
        <w:t>y only, whichever is higher</w:t>
      </w:r>
      <w:r w:rsidR="008D1B8F" w:rsidRPr="008D1B8F">
        <w:rPr>
          <w:rFonts w:ascii="DINOT" w:hAnsi="DINOT" w:cs="DINOT"/>
          <w:i/>
          <w:szCs w:val="24"/>
        </w:rPr>
        <w:t>. </w:t>
      </w:r>
    </w:p>
    <w:p w14:paraId="275B8819" w14:textId="77777777" w:rsidR="00EC1A9E" w:rsidRDefault="00EC1A9E" w:rsidP="0071771C">
      <w:pPr>
        <w:spacing w:after="0"/>
        <w:rPr>
          <w:rFonts w:ascii="DINOT" w:hAnsi="DINOT" w:cs="DINOT"/>
          <w:i/>
          <w:szCs w:val="24"/>
        </w:rPr>
      </w:pPr>
    </w:p>
    <w:p w14:paraId="6FAA2F9A" w14:textId="77777777" w:rsidR="008D1B8F" w:rsidRPr="008D1B8F" w:rsidRDefault="008D1B8F" w:rsidP="0071771C">
      <w:pPr>
        <w:spacing w:after="0"/>
        <w:rPr>
          <w:rFonts w:ascii="DINOT" w:hAnsi="DINOT" w:cs="DINOT"/>
          <w:i/>
          <w:szCs w:val="24"/>
        </w:rPr>
      </w:pPr>
    </w:p>
    <w:p w14:paraId="6C05A072" w14:textId="77777777" w:rsidR="008D14E9" w:rsidRPr="00D63DD0" w:rsidRDefault="00EC1A9E" w:rsidP="0071771C">
      <w:pPr>
        <w:spacing w:after="0"/>
        <w:rPr>
          <w:rFonts w:ascii="DINOT" w:hAnsi="DINOT" w:cs="DINOT"/>
          <w:szCs w:val="24"/>
        </w:rPr>
      </w:pPr>
      <w:r w:rsidRPr="00D63DD0">
        <w:rPr>
          <w:rFonts w:ascii="DINOT" w:hAnsi="DINOT" w:cs="DINOT"/>
          <w:szCs w:val="24"/>
        </w:rPr>
        <w:t xml:space="preserve">If your pay on the 2016 contract drops below </w:t>
      </w:r>
      <w:r w:rsidR="00B70C34" w:rsidRPr="00D63DD0">
        <w:rPr>
          <w:rFonts w:ascii="DINOT" w:hAnsi="DINOT" w:cs="DINOT"/>
          <w:szCs w:val="24"/>
        </w:rPr>
        <w:t xml:space="preserve">your individual </w:t>
      </w:r>
      <w:r w:rsidRPr="00D63DD0">
        <w:rPr>
          <w:rFonts w:ascii="DINOT" w:hAnsi="DINOT" w:cs="DINOT"/>
          <w:szCs w:val="24"/>
        </w:rPr>
        <w:t xml:space="preserve">cash floor at any point during </w:t>
      </w:r>
      <w:r w:rsidR="00182CF0" w:rsidRPr="00D63DD0">
        <w:rPr>
          <w:rFonts w:ascii="DINOT" w:hAnsi="DINOT" w:cs="DINOT"/>
          <w:szCs w:val="24"/>
        </w:rPr>
        <w:t xml:space="preserve">your individual </w:t>
      </w:r>
      <w:r w:rsidRPr="00D63DD0">
        <w:rPr>
          <w:rFonts w:ascii="DINOT" w:hAnsi="DINOT" w:cs="DINOT"/>
          <w:szCs w:val="24"/>
        </w:rPr>
        <w:t>transition</w:t>
      </w:r>
      <w:r w:rsidR="00182CF0" w:rsidRPr="00D63DD0">
        <w:rPr>
          <w:rFonts w:ascii="DINOT" w:hAnsi="DINOT" w:cs="DINOT"/>
          <w:szCs w:val="24"/>
        </w:rPr>
        <w:t xml:space="preserve"> period</w:t>
      </w:r>
      <w:r w:rsidRPr="00D63DD0">
        <w:rPr>
          <w:rFonts w:ascii="DINOT" w:hAnsi="DINOT" w:cs="DINOT"/>
          <w:szCs w:val="24"/>
        </w:rPr>
        <w:t>, you will receive an additional pay protection payment, to bring your earnings back up to your cash floor level.</w:t>
      </w:r>
    </w:p>
    <w:p w14:paraId="1449E4A4" w14:textId="77777777" w:rsidR="00D51B64" w:rsidRDefault="00D51B64" w:rsidP="0071771C">
      <w:pPr>
        <w:spacing w:after="0"/>
        <w:rPr>
          <w:rFonts w:ascii="DINOT" w:hAnsi="DINOT" w:cs="DINOT"/>
          <w:b/>
          <w:szCs w:val="24"/>
        </w:rPr>
      </w:pPr>
    </w:p>
    <w:p w14:paraId="227EEABB" w14:textId="77777777" w:rsidR="008A56E6" w:rsidRDefault="008A56E6" w:rsidP="0071771C">
      <w:pPr>
        <w:spacing w:after="0"/>
        <w:rPr>
          <w:rFonts w:ascii="DINOT" w:hAnsi="DINOT" w:cs="DINOT"/>
          <w:b/>
          <w:szCs w:val="24"/>
        </w:rPr>
      </w:pPr>
    </w:p>
    <w:p w14:paraId="79FFBAE2" w14:textId="77777777" w:rsidR="008A56E6" w:rsidRDefault="008A56E6" w:rsidP="0071771C">
      <w:pPr>
        <w:spacing w:after="0"/>
        <w:rPr>
          <w:rFonts w:ascii="DINOT" w:hAnsi="DINOT" w:cs="DINOT"/>
          <w:b/>
          <w:szCs w:val="24"/>
        </w:rPr>
      </w:pPr>
    </w:p>
    <w:p w14:paraId="62B15DB8" w14:textId="77777777" w:rsidR="008A56E6" w:rsidRDefault="008A56E6" w:rsidP="0071771C">
      <w:pPr>
        <w:spacing w:after="0"/>
        <w:rPr>
          <w:rFonts w:ascii="DINOT" w:hAnsi="DINOT" w:cs="DINOT"/>
          <w:b/>
          <w:szCs w:val="24"/>
        </w:rPr>
      </w:pPr>
    </w:p>
    <w:p w14:paraId="314E62AC" w14:textId="77777777" w:rsidR="008A56E6" w:rsidRDefault="008A56E6" w:rsidP="0071771C">
      <w:pPr>
        <w:spacing w:after="0"/>
        <w:rPr>
          <w:rFonts w:ascii="DINOT" w:hAnsi="DINOT" w:cs="DINOT"/>
          <w:b/>
          <w:szCs w:val="24"/>
        </w:rPr>
      </w:pPr>
    </w:p>
    <w:p w14:paraId="49655228" w14:textId="77777777" w:rsidR="008A56E6" w:rsidRDefault="008A56E6" w:rsidP="0071771C">
      <w:pPr>
        <w:spacing w:after="0"/>
        <w:rPr>
          <w:rFonts w:ascii="DINOT" w:hAnsi="DINOT" w:cs="DINOT"/>
          <w:b/>
          <w:szCs w:val="24"/>
        </w:rPr>
      </w:pPr>
    </w:p>
    <w:p w14:paraId="71D52CA9" w14:textId="688EB763" w:rsidR="00D51B64" w:rsidRDefault="00D51B64" w:rsidP="0071771C">
      <w:pPr>
        <w:spacing w:after="0"/>
        <w:rPr>
          <w:rFonts w:ascii="DINOT" w:hAnsi="DINOT" w:cs="DINOT"/>
          <w:b/>
          <w:szCs w:val="24"/>
        </w:rPr>
      </w:pPr>
      <w:r>
        <w:rPr>
          <w:rFonts w:ascii="DINOT" w:hAnsi="DINOT" w:cs="DINOT"/>
          <w:b/>
          <w:noProof/>
          <w:szCs w:val="24"/>
          <w:lang w:eastAsia="en-GB"/>
        </w:rPr>
        <mc:AlternateContent>
          <mc:Choice Requires="wps">
            <w:drawing>
              <wp:anchor distT="0" distB="0" distL="114300" distR="114300" simplePos="0" relativeHeight="251662336" behindDoc="0" locked="0" layoutInCell="1" allowOverlap="1" wp14:anchorId="461E4AE0" wp14:editId="5FB4B9AC">
                <wp:simplePos x="0" y="0"/>
                <wp:positionH relativeFrom="column">
                  <wp:posOffset>-23496</wp:posOffset>
                </wp:positionH>
                <wp:positionV relativeFrom="paragraph">
                  <wp:posOffset>139700</wp:posOffset>
                </wp:positionV>
                <wp:extent cx="6448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448425" cy="2857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9DF25"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5pt,11pt" to="50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" strokecolor="#7030a0" strokeweight=".5pt">
                <v:stroke joinstyle="miter"/>
              </v:line>
            </w:pict>
          </mc:Fallback>
        </mc:AlternateContent>
      </w:r>
    </w:p>
    <w:p w14:paraId="1A1F3B5E" w14:textId="77777777" w:rsidR="00D51B64" w:rsidRDefault="00D51B64" w:rsidP="0071771C">
      <w:pPr>
        <w:spacing w:after="0"/>
        <w:rPr>
          <w:rFonts w:ascii="DINOT" w:hAnsi="DINOT" w:cs="DINOT"/>
          <w:b/>
          <w:szCs w:val="24"/>
        </w:rPr>
      </w:pPr>
    </w:p>
    <w:p w14:paraId="3B35553F" w14:textId="07D82152" w:rsidR="00D51B64" w:rsidRPr="008A56E6" w:rsidRDefault="00D51B64" w:rsidP="0071771C">
      <w:pPr>
        <w:spacing w:after="0"/>
        <w:rPr>
          <w:rFonts w:ascii="DINOT" w:hAnsi="DINOT" w:cs="DINOT"/>
          <w:b/>
          <w:szCs w:val="24"/>
        </w:rPr>
      </w:pPr>
      <w:r w:rsidRPr="008A56E6">
        <w:rPr>
          <w:rFonts w:ascii="DINOT" w:hAnsi="DINOT" w:cs="DINOT"/>
          <w:b/>
          <w:szCs w:val="24"/>
        </w:rPr>
        <w:t>For official use only</w:t>
      </w:r>
    </w:p>
    <w:p w14:paraId="0A0FB174" w14:textId="252483E4" w:rsidR="00D51B64" w:rsidRPr="00D51B64" w:rsidRDefault="00D51B64" w:rsidP="0071771C">
      <w:pPr>
        <w:spacing w:after="0"/>
        <w:rPr>
          <w:rFonts w:ascii="DINOT" w:hAnsi="DINOT" w:cs="DINOT"/>
          <w:szCs w:val="24"/>
        </w:rPr>
      </w:pPr>
    </w:p>
    <w:p w14:paraId="639C04E9" w14:textId="323B8AF3" w:rsidR="00D51B64" w:rsidRDefault="008A56E6" w:rsidP="0071771C">
      <w:pPr>
        <w:spacing w:after="0"/>
        <w:rPr>
          <w:rFonts w:ascii="DINOT" w:hAnsi="DINOT" w:cs="DINOT"/>
          <w:b/>
          <w:szCs w:val="24"/>
        </w:rPr>
      </w:pPr>
      <w:r w:rsidRPr="008A56E6">
        <w:rPr>
          <w:rFonts w:ascii="DINOT" w:hAnsi="DINOT" w:cs="DINOT"/>
          <w:szCs w:val="24"/>
        </w:rPr>
        <w:t xml:space="preserve">       </w:t>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r>
      <w:r>
        <w:rPr>
          <w:rFonts w:ascii="DINOT" w:hAnsi="DINOT" w:cs="DINOT"/>
          <w:szCs w:val="24"/>
        </w:rPr>
        <w:tab/>
        <w:t>Insert</w:t>
      </w:r>
      <w:r w:rsidRPr="008A56E6">
        <w:rPr>
          <w:rFonts w:ascii="DINOT" w:hAnsi="DINOT" w:cs="DINOT"/>
          <w:szCs w:val="24"/>
        </w:rPr>
        <w:t xml:space="preserve"> trust</w:t>
      </w:r>
      <w:r w:rsidRPr="00D51B64">
        <w:rPr>
          <w:rFonts w:ascii="DINOT" w:hAnsi="DINOT" w:cs="DINOT"/>
          <w:szCs w:val="24"/>
        </w:rPr>
        <w:t xml:space="preserve"> stamp</w:t>
      </w:r>
      <w:r>
        <w:rPr>
          <w:rFonts w:ascii="DINOT" w:hAnsi="DINOT" w:cs="DINOT"/>
          <w:szCs w:val="24"/>
        </w:rPr>
        <w:t xml:space="preserve"> below:</w:t>
      </w:r>
    </w:p>
    <w:p w14:paraId="08143266" w14:textId="730DC6D1" w:rsidR="00D51B64" w:rsidRDefault="00D51B64" w:rsidP="0071771C">
      <w:pPr>
        <w:spacing w:after="0"/>
        <w:rPr>
          <w:rFonts w:ascii="DINOT" w:hAnsi="DINOT" w:cs="DINOT"/>
          <w:szCs w:val="24"/>
        </w:rPr>
      </w:pPr>
      <w:r w:rsidRPr="008A56E6">
        <w:rPr>
          <w:rFonts w:ascii="DINOT" w:hAnsi="DINOT" w:cs="DINOT"/>
          <w:szCs w:val="24"/>
        </w:rPr>
        <w:t>Form completed by:</w:t>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p>
    <w:p w14:paraId="16DE8826" w14:textId="77777777" w:rsidR="008A56E6" w:rsidRDefault="008A56E6" w:rsidP="0071771C">
      <w:pPr>
        <w:spacing w:after="0"/>
        <w:rPr>
          <w:rFonts w:ascii="DINOT" w:hAnsi="DINOT" w:cs="DINOT"/>
          <w:szCs w:val="24"/>
        </w:rPr>
      </w:pPr>
    </w:p>
    <w:p w14:paraId="776F4BFE" w14:textId="580414BA" w:rsidR="008A56E6" w:rsidRPr="008A56E6" w:rsidRDefault="008A56E6" w:rsidP="008A56E6">
      <w:pPr>
        <w:spacing w:after="0"/>
        <w:rPr>
          <w:rFonts w:ascii="DINOT" w:hAnsi="DINOT" w:cs="DINOT"/>
          <w:i/>
          <w:szCs w:val="24"/>
        </w:rPr>
      </w:pPr>
      <w:r w:rsidRPr="008A56E6">
        <w:rPr>
          <w:rFonts w:ascii="DINOT" w:hAnsi="DINOT" w:cs="DINOT"/>
          <w:i/>
          <w:noProof/>
          <w:szCs w:val="24"/>
          <w:lang w:eastAsia="en-GB"/>
        </w:rPr>
        <mc:AlternateContent>
          <mc:Choice Requires="wps">
            <w:drawing>
              <wp:anchor distT="0" distB="0" distL="114300" distR="114300" simplePos="0" relativeHeight="251666432" behindDoc="0" locked="0" layoutInCell="1" allowOverlap="1" wp14:anchorId="76C247B0" wp14:editId="67E33602">
                <wp:simplePos x="0" y="0"/>
                <wp:positionH relativeFrom="column">
                  <wp:posOffset>-23495</wp:posOffset>
                </wp:positionH>
                <wp:positionV relativeFrom="paragraph">
                  <wp:posOffset>233045</wp:posOffset>
                </wp:positionV>
                <wp:extent cx="3086100" cy="2857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30861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96323"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85pt,18.35pt" to="241.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" strokecolor="#5b9bd5 [3204]" strokeweight=".5pt">
                <v:stroke joinstyle="miter"/>
              </v:line>
            </w:pict>
          </mc:Fallback>
        </mc:AlternateContent>
      </w:r>
    </w:p>
    <w:p w14:paraId="03C34FB4" w14:textId="7534F76F" w:rsidR="008A56E6" w:rsidRDefault="008A56E6" w:rsidP="008A56E6">
      <w:pPr>
        <w:spacing w:after="0"/>
        <w:rPr>
          <w:rFonts w:ascii="DINOT" w:hAnsi="DINOT" w:cs="DINOT"/>
          <w:szCs w:val="24"/>
        </w:rPr>
      </w:pPr>
    </w:p>
    <w:p w14:paraId="680533E4" w14:textId="0BF71F78" w:rsidR="008A56E6" w:rsidRDefault="008A56E6" w:rsidP="008A56E6">
      <w:pPr>
        <w:spacing w:after="0"/>
        <w:rPr>
          <w:rFonts w:ascii="DINOT" w:hAnsi="DINOT" w:cs="DINOT"/>
          <w:szCs w:val="24"/>
        </w:rPr>
      </w:pPr>
      <w:r>
        <w:rPr>
          <w:rFonts w:ascii="DINOT" w:hAnsi="DINOT" w:cs="DINOT"/>
          <w:szCs w:val="24"/>
        </w:rPr>
        <w:br/>
        <w:t>Date form</w:t>
      </w:r>
      <w:r w:rsidRPr="008A56E6">
        <w:rPr>
          <w:rFonts w:ascii="DINOT" w:hAnsi="DINOT" w:cs="DINOT"/>
          <w:szCs w:val="24"/>
        </w:rPr>
        <w:t xml:space="preserve"> completed:</w:t>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r>
        <w:rPr>
          <w:rFonts w:ascii="DINOT" w:hAnsi="DINOT" w:cs="DINOT"/>
          <w:b/>
          <w:szCs w:val="24"/>
        </w:rPr>
        <w:tab/>
      </w:r>
    </w:p>
    <w:p w14:paraId="2AA49E7A" w14:textId="08C4EF7E" w:rsidR="008A56E6" w:rsidRDefault="008A56E6" w:rsidP="008A56E6">
      <w:pPr>
        <w:spacing w:after="0"/>
        <w:rPr>
          <w:rFonts w:ascii="DINOT" w:hAnsi="DINOT" w:cs="DINOT"/>
          <w:szCs w:val="24"/>
        </w:rPr>
      </w:pPr>
    </w:p>
    <w:p w14:paraId="08607056" w14:textId="00B94AA9" w:rsidR="008A56E6" w:rsidRPr="008A56E6" w:rsidRDefault="008A56E6" w:rsidP="008A56E6">
      <w:pPr>
        <w:spacing w:after="0"/>
        <w:rPr>
          <w:rFonts w:ascii="DINOT" w:hAnsi="DINOT" w:cs="DINOT"/>
          <w:i/>
          <w:szCs w:val="24"/>
        </w:rPr>
      </w:pPr>
      <w:r w:rsidRPr="008A56E6">
        <w:rPr>
          <w:rFonts w:ascii="DINOT" w:hAnsi="DINOT" w:cs="DINOT"/>
          <w:i/>
          <w:noProof/>
          <w:szCs w:val="24"/>
          <w:lang w:eastAsia="en-GB"/>
        </w:rPr>
        <mc:AlternateContent>
          <mc:Choice Requires="wps">
            <w:drawing>
              <wp:anchor distT="0" distB="0" distL="114300" distR="114300" simplePos="0" relativeHeight="251664384" behindDoc="0" locked="0" layoutInCell="1" allowOverlap="1" wp14:anchorId="582EB572" wp14:editId="18128A94">
                <wp:simplePos x="0" y="0"/>
                <wp:positionH relativeFrom="column">
                  <wp:posOffset>-23495</wp:posOffset>
                </wp:positionH>
                <wp:positionV relativeFrom="paragraph">
                  <wp:posOffset>202565</wp:posOffset>
                </wp:positionV>
                <wp:extent cx="3086100" cy="2857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30861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48B0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5pt,15.95pt" to="2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" strokecolor="#5b9bd5 [3204]" strokeweight=".5pt">
                <v:stroke joinstyle="miter"/>
              </v:line>
            </w:pict>
          </mc:Fallback>
        </mc:AlternateContent>
      </w:r>
      <w:r w:rsidRPr="008A56E6">
        <w:rPr>
          <w:rFonts w:ascii="DINOT" w:hAnsi="DINOT" w:cs="DINOT"/>
          <w:i/>
          <w:szCs w:val="24"/>
        </w:rPr>
        <w:t xml:space="preserve"> </w:t>
      </w:r>
    </w:p>
    <w:p w14:paraId="52EDD1F2" w14:textId="6FDD4041" w:rsidR="008A56E6" w:rsidRPr="00D51B64" w:rsidRDefault="008A56E6" w:rsidP="0071771C">
      <w:pPr>
        <w:spacing w:after="0"/>
        <w:rPr>
          <w:rFonts w:ascii="DINOT" w:hAnsi="DINOT" w:cs="DINOT"/>
          <w:szCs w:val="24"/>
        </w:rPr>
      </w:pPr>
    </w:p>
    <w:sectPr w:rsidR="008A56E6" w:rsidRPr="00D51B64" w:rsidSect="00D23F53">
      <w:pgSz w:w="11906" w:h="16838"/>
      <w:pgMar w:top="1134" w:right="907" w:bottom="56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EFED3" w14:textId="77777777" w:rsidR="005D203B" w:rsidRDefault="005D203B" w:rsidP="004C4074">
      <w:pPr>
        <w:spacing w:after="0" w:line="240" w:lineRule="auto"/>
      </w:pPr>
      <w:r>
        <w:separator/>
      </w:r>
    </w:p>
  </w:endnote>
  <w:endnote w:type="continuationSeparator" w:id="0">
    <w:p w14:paraId="7AF36BBC" w14:textId="77777777" w:rsidR="005D203B" w:rsidRDefault="005D203B" w:rsidP="004C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1" w:usb1="00000001" w:usb2="00000000" w:usb3="00000000" w:csb0="0000019F" w:csb1="00000000"/>
  </w:font>
  <w:font w:name="DINOT">
    <w:panose1 w:val="00000000000000000000"/>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938C5" w14:textId="77777777" w:rsidR="005D203B" w:rsidRDefault="005D203B" w:rsidP="004C4074">
      <w:pPr>
        <w:spacing w:after="0" w:line="240" w:lineRule="auto"/>
      </w:pPr>
      <w:r>
        <w:separator/>
      </w:r>
    </w:p>
  </w:footnote>
  <w:footnote w:type="continuationSeparator" w:id="0">
    <w:p w14:paraId="04391967" w14:textId="77777777" w:rsidR="005D203B" w:rsidRDefault="005D203B" w:rsidP="004C4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44EB9"/>
    <w:multiLevelType w:val="hybridMultilevel"/>
    <w:tmpl w:val="EDC649AA"/>
    <w:lvl w:ilvl="0" w:tplc="E20ED6E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E9"/>
    <w:rsid w:val="00041DEF"/>
    <w:rsid w:val="00044958"/>
    <w:rsid w:val="00182CF0"/>
    <w:rsid w:val="001C0B90"/>
    <w:rsid w:val="0028464C"/>
    <w:rsid w:val="00334D73"/>
    <w:rsid w:val="0041102B"/>
    <w:rsid w:val="00453804"/>
    <w:rsid w:val="00487E27"/>
    <w:rsid w:val="004C4074"/>
    <w:rsid w:val="004E3F3E"/>
    <w:rsid w:val="005D203B"/>
    <w:rsid w:val="006624D8"/>
    <w:rsid w:val="00673A2F"/>
    <w:rsid w:val="006D043C"/>
    <w:rsid w:val="006E6842"/>
    <w:rsid w:val="0071771C"/>
    <w:rsid w:val="00845593"/>
    <w:rsid w:val="008A56E6"/>
    <w:rsid w:val="008D14E9"/>
    <w:rsid w:val="008D1B8F"/>
    <w:rsid w:val="009C3363"/>
    <w:rsid w:val="00B70C34"/>
    <w:rsid w:val="00C54630"/>
    <w:rsid w:val="00CE3F1E"/>
    <w:rsid w:val="00D23F53"/>
    <w:rsid w:val="00D51B64"/>
    <w:rsid w:val="00D63DD0"/>
    <w:rsid w:val="00E65459"/>
    <w:rsid w:val="00EC1A9E"/>
    <w:rsid w:val="00F14146"/>
    <w:rsid w:val="00FC0599"/>
    <w:rsid w:val="00FC2408"/>
    <w:rsid w:val="00FE4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16252"/>
  <w15:chartTrackingRefBased/>
  <w15:docId w15:val="{578DD2A4-9F65-4D47-9A2F-368F161A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1A9E"/>
    <w:pPr>
      <w:ind w:left="720"/>
      <w:contextualSpacing/>
    </w:pPr>
  </w:style>
  <w:style w:type="paragraph" w:styleId="Header">
    <w:name w:val="header"/>
    <w:basedOn w:val="Normal"/>
    <w:link w:val="HeaderChar"/>
    <w:uiPriority w:val="99"/>
    <w:unhideWhenUsed/>
    <w:rsid w:val="004C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074"/>
  </w:style>
  <w:style w:type="paragraph" w:styleId="Footer">
    <w:name w:val="footer"/>
    <w:basedOn w:val="Normal"/>
    <w:link w:val="FooterChar"/>
    <w:uiPriority w:val="99"/>
    <w:unhideWhenUsed/>
    <w:rsid w:val="004C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074"/>
  </w:style>
  <w:style w:type="character" w:styleId="CommentReference">
    <w:name w:val="annotation reference"/>
    <w:basedOn w:val="DefaultParagraphFont"/>
    <w:uiPriority w:val="99"/>
    <w:semiHidden/>
    <w:unhideWhenUsed/>
    <w:rsid w:val="00334D73"/>
    <w:rPr>
      <w:sz w:val="16"/>
      <w:szCs w:val="16"/>
    </w:rPr>
  </w:style>
  <w:style w:type="paragraph" w:styleId="CommentText">
    <w:name w:val="annotation text"/>
    <w:basedOn w:val="Normal"/>
    <w:link w:val="CommentTextChar"/>
    <w:uiPriority w:val="99"/>
    <w:semiHidden/>
    <w:unhideWhenUsed/>
    <w:rsid w:val="00334D73"/>
    <w:pPr>
      <w:spacing w:line="240" w:lineRule="auto"/>
    </w:pPr>
    <w:rPr>
      <w:sz w:val="20"/>
      <w:szCs w:val="20"/>
    </w:rPr>
  </w:style>
  <w:style w:type="character" w:customStyle="1" w:styleId="CommentTextChar">
    <w:name w:val="Comment Text Char"/>
    <w:basedOn w:val="DefaultParagraphFont"/>
    <w:link w:val="CommentText"/>
    <w:uiPriority w:val="99"/>
    <w:semiHidden/>
    <w:rsid w:val="00334D73"/>
    <w:rPr>
      <w:sz w:val="20"/>
      <w:szCs w:val="20"/>
    </w:rPr>
  </w:style>
  <w:style w:type="paragraph" w:styleId="CommentSubject">
    <w:name w:val="annotation subject"/>
    <w:basedOn w:val="CommentText"/>
    <w:next w:val="CommentText"/>
    <w:link w:val="CommentSubjectChar"/>
    <w:uiPriority w:val="99"/>
    <w:semiHidden/>
    <w:unhideWhenUsed/>
    <w:rsid w:val="00334D73"/>
    <w:rPr>
      <w:b/>
      <w:bCs/>
    </w:rPr>
  </w:style>
  <w:style w:type="character" w:customStyle="1" w:styleId="CommentSubjectChar">
    <w:name w:val="Comment Subject Char"/>
    <w:basedOn w:val="CommentTextChar"/>
    <w:link w:val="CommentSubject"/>
    <w:uiPriority w:val="99"/>
    <w:semiHidden/>
    <w:rsid w:val="00334D73"/>
    <w:rPr>
      <w:b/>
      <w:bCs/>
      <w:sz w:val="20"/>
      <w:szCs w:val="20"/>
    </w:rPr>
  </w:style>
  <w:style w:type="paragraph" w:styleId="BalloonText">
    <w:name w:val="Balloon Text"/>
    <w:basedOn w:val="Normal"/>
    <w:link w:val="BalloonTextChar"/>
    <w:uiPriority w:val="99"/>
    <w:semiHidden/>
    <w:unhideWhenUsed/>
    <w:rsid w:val="00334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D73"/>
    <w:rPr>
      <w:rFonts w:ascii="Segoe UI" w:hAnsi="Segoe UI" w:cs="Segoe UI"/>
      <w:sz w:val="18"/>
      <w:szCs w:val="18"/>
    </w:rPr>
  </w:style>
  <w:style w:type="character" w:styleId="Hyperlink">
    <w:name w:val="Hyperlink"/>
    <w:basedOn w:val="DefaultParagraphFont"/>
    <w:uiPriority w:val="99"/>
    <w:unhideWhenUsed/>
    <w:rsid w:val="009C33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4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employers.org/your-workforce/need-to-know/junior-doctors-2016-contract/faq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7CBCB-2E64-4A36-A0C8-BEA7DC1A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Confed</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Lindsay</dc:creator>
  <cp:keywords/>
  <dc:description/>
  <cp:lastModifiedBy>Marita Bardino</cp:lastModifiedBy>
  <cp:revision>2</cp:revision>
  <dcterms:created xsi:type="dcterms:W3CDTF">2017-02-16T17:17:00Z</dcterms:created>
  <dcterms:modified xsi:type="dcterms:W3CDTF">2017-02-16T17:17:00Z</dcterms:modified>
</cp:coreProperties>
</file>