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56F" w:rsidRPr="001D07DF" w:rsidRDefault="003D456F" w:rsidP="003D456F">
      <w:pPr>
        <w:spacing w:before="280" w:after="120" w:line="300" w:lineRule="atLeast"/>
        <w:rPr>
          <w:rFonts w:ascii="Calibri" w:hAnsi="Calibri" w:cs="Calibri"/>
          <w:b/>
          <w:sz w:val="20"/>
          <w:szCs w:val="20"/>
        </w:rPr>
      </w:pPr>
      <w:r w:rsidRPr="001D07DF">
        <w:rPr>
          <w:rFonts w:ascii="Calibri" w:hAnsi="Calibri" w:cs="Calibri"/>
          <w:b/>
          <w:sz w:val="20"/>
          <w:szCs w:val="20"/>
        </w:rPr>
        <w:t>BMA Model Terms of Engagement for a Locum GP – Optional clauses (to be inserted in Additional Terms</w:t>
      </w:r>
      <w:r w:rsidR="00EC6357" w:rsidRPr="001D07DF">
        <w:rPr>
          <w:rFonts w:ascii="Calibri" w:hAnsi="Calibri" w:cs="Calibri"/>
          <w:b/>
          <w:sz w:val="20"/>
          <w:szCs w:val="20"/>
        </w:rPr>
        <w:t xml:space="preserve"> in the Work Schedule</w:t>
      </w:r>
      <w:r w:rsidRPr="001D07DF">
        <w:rPr>
          <w:rFonts w:ascii="Calibri" w:hAnsi="Calibri" w:cs="Calibri"/>
          <w:b/>
          <w:sz w:val="20"/>
          <w:szCs w:val="20"/>
        </w:rPr>
        <w:t xml:space="preserve"> if required)</w:t>
      </w:r>
    </w:p>
    <w:p w:rsidR="003D456F" w:rsidRPr="001D07DF" w:rsidRDefault="003D456F" w:rsidP="003D456F">
      <w:pPr>
        <w:numPr>
          <w:ilvl w:val="0"/>
          <w:numId w:val="2"/>
        </w:numPr>
        <w:spacing w:before="280" w:after="280" w:line="300" w:lineRule="atLeast"/>
        <w:rPr>
          <w:rFonts w:ascii="Calibri" w:hAnsi="Calibri" w:cs="Calibri"/>
          <w:b/>
          <w:sz w:val="20"/>
          <w:szCs w:val="20"/>
        </w:rPr>
      </w:pPr>
      <w:r w:rsidRPr="001D07DF">
        <w:rPr>
          <w:rFonts w:ascii="Calibri" w:hAnsi="Calibri" w:cs="Calibri"/>
          <w:b/>
          <w:sz w:val="20"/>
          <w:szCs w:val="20"/>
        </w:rPr>
        <w:t>Cancellation fee</w:t>
      </w:r>
    </w:p>
    <w:p w:rsidR="00F445C8" w:rsidRPr="001D07DF" w:rsidRDefault="003D456F" w:rsidP="00F3077F">
      <w:pPr>
        <w:spacing w:before="280" w:after="280" w:line="300" w:lineRule="atLeast"/>
        <w:ind w:left="360"/>
        <w:rPr>
          <w:rFonts w:ascii="Calibri" w:hAnsi="Calibri" w:cs="Calibri"/>
          <w:sz w:val="20"/>
          <w:szCs w:val="20"/>
        </w:rPr>
      </w:pPr>
      <w:r w:rsidRPr="001D07DF">
        <w:rPr>
          <w:rFonts w:ascii="Calibri" w:hAnsi="Calibri" w:cs="Calibri"/>
          <w:sz w:val="20"/>
          <w:szCs w:val="20"/>
        </w:rPr>
        <w:t>Notwithstanding clause 8</w:t>
      </w:r>
      <w:r w:rsidR="00EC6357" w:rsidRPr="001D07DF">
        <w:rPr>
          <w:rFonts w:ascii="Calibri" w:hAnsi="Calibri" w:cs="Calibri"/>
          <w:sz w:val="20"/>
          <w:szCs w:val="20"/>
        </w:rPr>
        <w:t xml:space="preserve"> of the Terms</w:t>
      </w:r>
      <w:r w:rsidRPr="001D07DF">
        <w:rPr>
          <w:rFonts w:ascii="Calibri" w:hAnsi="Calibri" w:cs="Calibri"/>
          <w:sz w:val="20"/>
          <w:szCs w:val="20"/>
        </w:rPr>
        <w:t>, a cancellation fee may be payable if a party cancels an agreed session as set out in the table below:</w:t>
      </w:r>
      <w:bookmarkStart w:id="0" w:name="_Hlk532380765"/>
    </w:p>
    <w:tbl>
      <w:tblPr>
        <w:tblStyle w:val="TableGrid"/>
        <w:tblW w:w="0" w:type="auto"/>
        <w:tblInd w:w="562" w:type="dxa"/>
        <w:tblLook w:val="04A0" w:firstRow="1" w:lastRow="0" w:firstColumn="1" w:lastColumn="0" w:noHBand="0" w:noVBand="1"/>
      </w:tblPr>
      <w:tblGrid>
        <w:gridCol w:w="1560"/>
        <w:gridCol w:w="3402"/>
        <w:gridCol w:w="3492"/>
      </w:tblGrid>
      <w:tr w:rsidR="00F445C8" w:rsidRPr="001D07DF" w:rsidTr="00F445C8">
        <w:tc>
          <w:tcPr>
            <w:tcW w:w="1560" w:type="dxa"/>
          </w:tcPr>
          <w:p w:rsidR="00F445C8" w:rsidRPr="001D07DF" w:rsidRDefault="00F445C8" w:rsidP="003D456F">
            <w:pPr>
              <w:spacing w:before="280" w:after="120" w:line="300" w:lineRule="atLeast"/>
              <w:rPr>
                <w:rFonts w:ascii="Calibri" w:hAnsi="Calibri" w:cs="Calibri"/>
                <w:b/>
                <w:sz w:val="20"/>
                <w:szCs w:val="20"/>
              </w:rPr>
            </w:pPr>
            <w:r w:rsidRPr="001D07DF">
              <w:rPr>
                <w:rFonts w:ascii="Calibri" w:hAnsi="Calibri" w:cs="Calibri"/>
                <w:b/>
                <w:sz w:val="20"/>
                <w:szCs w:val="20"/>
              </w:rPr>
              <w:t>Cancellation by</w:t>
            </w:r>
          </w:p>
        </w:tc>
        <w:tc>
          <w:tcPr>
            <w:tcW w:w="3402" w:type="dxa"/>
          </w:tcPr>
          <w:p w:rsidR="00F445C8" w:rsidRPr="001D07DF" w:rsidRDefault="00F445C8" w:rsidP="003D456F">
            <w:pPr>
              <w:spacing w:before="280" w:after="120" w:line="300" w:lineRule="atLeast"/>
              <w:rPr>
                <w:rFonts w:ascii="Calibri" w:hAnsi="Calibri" w:cs="Calibri"/>
                <w:b/>
                <w:sz w:val="20"/>
                <w:szCs w:val="20"/>
              </w:rPr>
            </w:pPr>
            <w:r w:rsidRPr="001D07DF">
              <w:rPr>
                <w:rFonts w:ascii="Calibri" w:hAnsi="Calibri" w:cs="Calibri"/>
                <w:b/>
                <w:sz w:val="20"/>
                <w:szCs w:val="20"/>
              </w:rPr>
              <w:t>Amount of notice given</w:t>
            </w:r>
          </w:p>
        </w:tc>
        <w:tc>
          <w:tcPr>
            <w:tcW w:w="3492" w:type="dxa"/>
          </w:tcPr>
          <w:p w:rsidR="00F445C8" w:rsidRPr="001D07DF" w:rsidRDefault="00F445C8" w:rsidP="003D456F">
            <w:pPr>
              <w:spacing w:before="280" w:after="120" w:line="300" w:lineRule="atLeast"/>
              <w:rPr>
                <w:rFonts w:ascii="Calibri" w:hAnsi="Calibri" w:cs="Calibri"/>
                <w:b/>
                <w:sz w:val="20"/>
                <w:szCs w:val="20"/>
              </w:rPr>
            </w:pPr>
            <w:r w:rsidRPr="001D07DF">
              <w:rPr>
                <w:rFonts w:ascii="Calibri" w:hAnsi="Calibri" w:cs="Calibri"/>
                <w:b/>
                <w:sz w:val="20"/>
                <w:szCs w:val="20"/>
              </w:rPr>
              <w:t>Cancellation fee (% of Fee payable)</w:t>
            </w:r>
          </w:p>
        </w:tc>
      </w:tr>
      <w:tr w:rsidR="00F445C8" w:rsidRPr="001D07DF" w:rsidTr="00F445C8">
        <w:tc>
          <w:tcPr>
            <w:tcW w:w="1560" w:type="dxa"/>
            <w:vMerge w:val="restart"/>
          </w:tcPr>
          <w:p w:rsidR="00F445C8" w:rsidRPr="001D07DF" w:rsidRDefault="00F445C8" w:rsidP="003D456F">
            <w:pPr>
              <w:spacing w:before="280" w:after="120" w:line="300" w:lineRule="atLeast"/>
              <w:rPr>
                <w:rFonts w:ascii="Calibri" w:hAnsi="Calibri" w:cs="Calibri"/>
                <w:sz w:val="20"/>
                <w:szCs w:val="20"/>
              </w:rPr>
            </w:pPr>
            <w:r w:rsidRPr="001D07DF">
              <w:rPr>
                <w:rFonts w:ascii="Calibri" w:hAnsi="Calibri" w:cs="Calibri"/>
                <w:sz w:val="20"/>
                <w:szCs w:val="20"/>
              </w:rPr>
              <w:t>Locum</w:t>
            </w:r>
          </w:p>
        </w:tc>
        <w:tc>
          <w:tcPr>
            <w:tcW w:w="3402" w:type="dxa"/>
          </w:tcPr>
          <w:p w:rsidR="00F445C8" w:rsidRPr="001D07DF" w:rsidRDefault="008B7327" w:rsidP="003D456F">
            <w:pPr>
              <w:spacing w:before="280" w:after="120" w:line="300" w:lineRule="atLeast"/>
              <w:rPr>
                <w:rFonts w:ascii="Calibri" w:hAnsi="Calibri" w:cs="Calibri"/>
                <w:sz w:val="20"/>
                <w:szCs w:val="20"/>
              </w:rPr>
            </w:pPr>
            <w:r w:rsidRPr="008B7327">
              <w:rPr>
                <w:rFonts w:ascii="Calibri" w:hAnsi="Calibri" w:cs="Calibri"/>
                <w:sz w:val="20"/>
                <w:szCs w:val="20"/>
                <w:highlight w:val="yellow"/>
              </w:rPr>
              <w:t>[</w:t>
            </w:r>
            <w:r w:rsidRPr="008B7327">
              <w:rPr>
                <w:rFonts w:ascii="Calibri" w:hAnsi="Calibri" w:cs="Calibri"/>
                <w:i/>
                <w:sz w:val="20"/>
                <w:szCs w:val="20"/>
                <w:highlight w:val="yellow"/>
              </w:rPr>
              <w:t>To be completed</w:t>
            </w:r>
            <w:r w:rsidRPr="008B7327">
              <w:rPr>
                <w:rFonts w:ascii="Calibri" w:hAnsi="Calibri" w:cs="Calibri"/>
                <w:sz w:val="20"/>
                <w:szCs w:val="20"/>
                <w:highlight w:val="yellow"/>
              </w:rPr>
              <w:t>]</w:t>
            </w:r>
          </w:p>
        </w:tc>
        <w:tc>
          <w:tcPr>
            <w:tcW w:w="3492" w:type="dxa"/>
          </w:tcPr>
          <w:p w:rsidR="00F445C8" w:rsidRPr="001D07DF" w:rsidRDefault="008B7327" w:rsidP="003D456F">
            <w:pPr>
              <w:spacing w:before="280" w:after="120" w:line="300" w:lineRule="atLeast"/>
              <w:rPr>
                <w:rFonts w:ascii="Calibri" w:hAnsi="Calibri" w:cs="Calibri"/>
                <w:sz w:val="20"/>
                <w:szCs w:val="20"/>
              </w:rPr>
            </w:pPr>
            <w:r w:rsidRPr="008B7327">
              <w:rPr>
                <w:rFonts w:ascii="Calibri" w:hAnsi="Calibri" w:cs="Calibri"/>
                <w:sz w:val="20"/>
                <w:szCs w:val="20"/>
                <w:highlight w:val="yellow"/>
              </w:rPr>
              <w:t>[</w:t>
            </w:r>
            <w:r w:rsidRPr="008B7327">
              <w:rPr>
                <w:rFonts w:ascii="Calibri" w:hAnsi="Calibri" w:cs="Calibri"/>
                <w:i/>
                <w:sz w:val="20"/>
                <w:szCs w:val="20"/>
                <w:highlight w:val="yellow"/>
              </w:rPr>
              <w:t>To be completed</w:t>
            </w:r>
            <w:r w:rsidRPr="008B7327">
              <w:rPr>
                <w:rFonts w:ascii="Calibri" w:hAnsi="Calibri" w:cs="Calibri"/>
                <w:sz w:val="20"/>
                <w:szCs w:val="20"/>
                <w:highlight w:val="yellow"/>
              </w:rPr>
              <w:t>]</w:t>
            </w:r>
          </w:p>
        </w:tc>
      </w:tr>
      <w:tr w:rsidR="00F445C8" w:rsidRPr="001D07DF" w:rsidTr="00F445C8">
        <w:tc>
          <w:tcPr>
            <w:tcW w:w="1560" w:type="dxa"/>
            <w:vMerge/>
          </w:tcPr>
          <w:p w:rsidR="00F445C8" w:rsidRPr="001D07DF" w:rsidRDefault="00F445C8" w:rsidP="003D456F">
            <w:pPr>
              <w:spacing w:before="280" w:after="120" w:line="300" w:lineRule="atLeast"/>
              <w:rPr>
                <w:rFonts w:ascii="Calibri" w:hAnsi="Calibri" w:cs="Calibri"/>
                <w:sz w:val="20"/>
                <w:szCs w:val="20"/>
              </w:rPr>
            </w:pPr>
          </w:p>
        </w:tc>
        <w:tc>
          <w:tcPr>
            <w:tcW w:w="3402" w:type="dxa"/>
          </w:tcPr>
          <w:p w:rsidR="00F445C8" w:rsidRPr="001D07DF" w:rsidRDefault="00F445C8" w:rsidP="003D456F">
            <w:pPr>
              <w:spacing w:before="280" w:after="120" w:line="300" w:lineRule="atLeast"/>
              <w:rPr>
                <w:rFonts w:ascii="Calibri" w:hAnsi="Calibri" w:cs="Calibri"/>
                <w:sz w:val="20"/>
                <w:szCs w:val="20"/>
              </w:rPr>
            </w:pPr>
          </w:p>
        </w:tc>
        <w:tc>
          <w:tcPr>
            <w:tcW w:w="3492" w:type="dxa"/>
          </w:tcPr>
          <w:p w:rsidR="00F445C8" w:rsidRPr="001D07DF" w:rsidRDefault="00F445C8" w:rsidP="003D456F">
            <w:pPr>
              <w:spacing w:before="280" w:after="120" w:line="300" w:lineRule="atLeast"/>
              <w:rPr>
                <w:rFonts w:ascii="Calibri" w:hAnsi="Calibri" w:cs="Calibri"/>
                <w:sz w:val="20"/>
                <w:szCs w:val="20"/>
              </w:rPr>
            </w:pPr>
          </w:p>
        </w:tc>
      </w:tr>
      <w:tr w:rsidR="00F445C8" w:rsidRPr="001D07DF" w:rsidTr="00F445C8">
        <w:tc>
          <w:tcPr>
            <w:tcW w:w="1560" w:type="dxa"/>
            <w:vMerge w:val="restart"/>
          </w:tcPr>
          <w:p w:rsidR="00F445C8" w:rsidRPr="001D07DF" w:rsidRDefault="00F445C8" w:rsidP="003D456F">
            <w:pPr>
              <w:spacing w:before="280" w:after="120" w:line="300" w:lineRule="atLeast"/>
              <w:rPr>
                <w:rFonts w:ascii="Calibri" w:hAnsi="Calibri" w:cs="Calibri"/>
                <w:sz w:val="20"/>
                <w:szCs w:val="20"/>
              </w:rPr>
            </w:pPr>
            <w:r w:rsidRPr="001D07DF">
              <w:rPr>
                <w:rFonts w:ascii="Calibri" w:hAnsi="Calibri" w:cs="Calibri"/>
                <w:sz w:val="20"/>
                <w:szCs w:val="20"/>
              </w:rPr>
              <w:t>Practice</w:t>
            </w:r>
          </w:p>
        </w:tc>
        <w:tc>
          <w:tcPr>
            <w:tcW w:w="3402" w:type="dxa"/>
          </w:tcPr>
          <w:p w:rsidR="00F445C8" w:rsidRPr="001D07DF" w:rsidRDefault="008B7327" w:rsidP="003D456F">
            <w:pPr>
              <w:spacing w:before="280" w:after="120" w:line="300" w:lineRule="atLeast"/>
              <w:rPr>
                <w:rFonts w:ascii="Calibri" w:hAnsi="Calibri" w:cs="Calibri"/>
                <w:sz w:val="20"/>
                <w:szCs w:val="20"/>
              </w:rPr>
            </w:pPr>
            <w:r w:rsidRPr="008B7327">
              <w:rPr>
                <w:rFonts w:ascii="Calibri" w:hAnsi="Calibri" w:cs="Calibri"/>
                <w:sz w:val="20"/>
                <w:szCs w:val="20"/>
                <w:highlight w:val="yellow"/>
              </w:rPr>
              <w:t>[</w:t>
            </w:r>
            <w:r w:rsidRPr="008B7327">
              <w:rPr>
                <w:rFonts w:ascii="Calibri" w:hAnsi="Calibri" w:cs="Calibri"/>
                <w:i/>
                <w:sz w:val="20"/>
                <w:szCs w:val="20"/>
                <w:highlight w:val="yellow"/>
              </w:rPr>
              <w:t>To be completed</w:t>
            </w:r>
            <w:r w:rsidRPr="008B7327">
              <w:rPr>
                <w:rFonts w:ascii="Calibri" w:hAnsi="Calibri" w:cs="Calibri"/>
                <w:sz w:val="20"/>
                <w:szCs w:val="20"/>
                <w:highlight w:val="yellow"/>
              </w:rPr>
              <w:t>]</w:t>
            </w:r>
          </w:p>
        </w:tc>
        <w:tc>
          <w:tcPr>
            <w:tcW w:w="3492" w:type="dxa"/>
          </w:tcPr>
          <w:p w:rsidR="00F445C8" w:rsidRPr="001D07DF" w:rsidRDefault="008B7327" w:rsidP="003D456F">
            <w:pPr>
              <w:spacing w:before="280" w:after="120" w:line="300" w:lineRule="atLeast"/>
              <w:rPr>
                <w:rFonts w:ascii="Calibri" w:hAnsi="Calibri" w:cs="Calibri"/>
                <w:sz w:val="20"/>
                <w:szCs w:val="20"/>
              </w:rPr>
            </w:pPr>
            <w:r w:rsidRPr="008B7327">
              <w:rPr>
                <w:rFonts w:ascii="Calibri" w:hAnsi="Calibri" w:cs="Calibri"/>
                <w:sz w:val="20"/>
                <w:szCs w:val="20"/>
                <w:highlight w:val="yellow"/>
              </w:rPr>
              <w:t>[</w:t>
            </w:r>
            <w:r w:rsidRPr="008B7327">
              <w:rPr>
                <w:rFonts w:ascii="Calibri" w:hAnsi="Calibri" w:cs="Calibri"/>
                <w:i/>
                <w:sz w:val="20"/>
                <w:szCs w:val="20"/>
                <w:highlight w:val="yellow"/>
              </w:rPr>
              <w:t>To be completed</w:t>
            </w:r>
            <w:r w:rsidRPr="008B7327">
              <w:rPr>
                <w:rFonts w:ascii="Calibri" w:hAnsi="Calibri" w:cs="Calibri"/>
                <w:sz w:val="20"/>
                <w:szCs w:val="20"/>
                <w:highlight w:val="yellow"/>
              </w:rPr>
              <w:t>]</w:t>
            </w:r>
          </w:p>
        </w:tc>
      </w:tr>
      <w:tr w:rsidR="00F445C8" w:rsidRPr="001D07DF" w:rsidTr="00F445C8">
        <w:tc>
          <w:tcPr>
            <w:tcW w:w="1560" w:type="dxa"/>
            <w:vMerge/>
          </w:tcPr>
          <w:p w:rsidR="00F445C8" w:rsidRPr="001D07DF" w:rsidRDefault="00F445C8" w:rsidP="003D456F">
            <w:pPr>
              <w:spacing w:before="280" w:after="120" w:line="300" w:lineRule="atLeast"/>
              <w:rPr>
                <w:rFonts w:ascii="Calibri" w:hAnsi="Calibri" w:cs="Calibri"/>
                <w:sz w:val="20"/>
                <w:szCs w:val="20"/>
              </w:rPr>
            </w:pPr>
          </w:p>
        </w:tc>
        <w:tc>
          <w:tcPr>
            <w:tcW w:w="3402" w:type="dxa"/>
          </w:tcPr>
          <w:p w:rsidR="00F445C8" w:rsidRPr="001D07DF" w:rsidRDefault="00F445C8" w:rsidP="003D456F">
            <w:pPr>
              <w:spacing w:before="280" w:after="120" w:line="300" w:lineRule="atLeast"/>
              <w:rPr>
                <w:rFonts w:ascii="Calibri" w:hAnsi="Calibri" w:cs="Calibri"/>
                <w:sz w:val="20"/>
                <w:szCs w:val="20"/>
              </w:rPr>
            </w:pPr>
          </w:p>
        </w:tc>
        <w:tc>
          <w:tcPr>
            <w:tcW w:w="3492" w:type="dxa"/>
          </w:tcPr>
          <w:p w:rsidR="00F445C8" w:rsidRPr="001D07DF" w:rsidRDefault="00F445C8" w:rsidP="003D456F">
            <w:pPr>
              <w:spacing w:before="280" w:after="120" w:line="300" w:lineRule="atLeast"/>
              <w:rPr>
                <w:rFonts w:ascii="Calibri" w:hAnsi="Calibri" w:cs="Calibri"/>
                <w:sz w:val="20"/>
                <w:szCs w:val="20"/>
              </w:rPr>
            </w:pPr>
          </w:p>
        </w:tc>
      </w:tr>
    </w:tbl>
    <w:p w:rsidR="003D456F" w:rsidRPr="001D07DF" w:rsidRDefault="003D456F" w:rsidP="00F3077F">
      <w:pPr>
        <w:spacing w:before="280" w:after="120" w:line="300" w:lineRule="atLeast"/>
        <w:ind w:left="357"/>
        <w:rPr>
          <w:rFonts w:ascii="Calibri" w:hAnsi="Calibri" w:cs="Calibri"/>
          <w:sz w:val="20"/>
          <w:szCs w:val="20"/>
        </w:rPr>
      </w:pPr>
      <w:r w:rsidRPr="001D07DF">
        <w:rPr>
          <w:rFonts w:ascii="Calibri" w:hAnsi="Calibri" w:cs="Calibri"/>
          <w:sz w:val="20"/>
          <w:szCs w:val="20"/>
        </w:rPr>
        <w:t xml:space="preserve">For the avoidance of doubt, the cancellation fee shall be a percentage of the Fee payable excluding any NHS pension scheme </w:t>
      </w:r>
      <w:proofErr w:type="gramStart"/>
      <w:r w:rsidRPr="001D07DF">
        <w:rPr>
          <w:rFonts w:ascii="Calibri" w:hAnsi="Calibri" w:cs="Calibri"/>
          <w:sz w:val="20"/>
          <w:szCs w:val="20"/>
        </w:rPr>
        <w:t>employers</w:t>
      </w:r>
      <w:proofErr w:type="gramEnd"/>
      <w:r w:rsidRPr="001D07DF">
        <w:rPr>
          <w:rFonts w:ascii="Calibri" w:hAnsi="Calibri" w:cs="Calibri"/>
          <w:sz w:val="20"/>
          <w:szCs w:val="20"/>
        </w:rPr>
        <w:t xml:space="preserve"> contributi</w:t>
      </w:r>
      <w:r w:rsidR="004F494F" w:rsidRPr="001D07DF">
        <w:rPr>
          <w:rFonts w:ascii="Calibri" w:hAnsi="Calibri" w:cs="Calibri"/>
          <w:sz w:val="20"/>
          <w:szCs w:val="20"/>
        </w:rPr>
        <w:t>on payable pursuant to clause 26</w:t>
      </w:r>
      <w:r w:rsidR="00EC6357" w:rsidRPr="001D07DF">
        <w:rPr>
          <w:rFonts w:ascii="Calibri" w:hAnsi="Calibri" w:cs="Calibri"/>
          <w:sz w:val="20"/>
          <w:szCs w:val="20"/>
        </w:rPr>
        <w:t xml:space="preserve"> of the Terms.</w:t>
      </w:r>
    </w:p>
    <w:p w:rsidR="003D456F" w:rsidRPr="001D07DF" w:rsidRDefault="00D84BEB" w:rsidP="003D456F">
      <w:pPr>
        <w:numPr>
          <w:ilvl w:val="0"/>
          <w:numId w:val="2"/>
        </w:numPr>
        <w:spacing w:before="280" w:after="120" w:line="300" w:lineRule="atLeast"/>
        <w:ind w:left="357" w:hanging="357"/>
        <w:rPr>
          <w:rFonts w:ascii="Calibri" w:hAnsi="Calibri" w:cs="Calibri"/>
          <w:b/>
          <w:sz w:val="20"/>
          <w:szCs w:val="20"/>
        </w:rPr>
      </w:pPr>
      <w:r w:rsidRPr="001D07DF">
        <w:rPr>
          <w:rFonts w:ascii="Calibri" w:hAnsi="Calibri" w:cs="Calibri"/>
          <w:b/>
          <w:sz w:val="20"/>
          <w:szCs w:val="20"/>
        </w:rPr>
        <w:t>Employment status i</w:t>
      </w:r>
      <w:r w:rsidR="003D456F" w:rsidRPr="001D07DF">
        <w:rPr>
          <w:rFonts w:ascii="Calibri" w:hAnsi="Calibri" w:cs="Calibri"/>
          <w:b/>
          <w:sz w:val="20"/>
          <w:szCs w:val="20"/>
        </w:rPr>
        <w:t>ndemnity</w:t>
      </w:r>
    </w:p>
    <w:bookmarkEnd w:id="0"/>
    <w:p w:rsidR="003D456F" w:rsidRPr="001D07DF" w:rsidRDefault="003D456F" w:rsidP="003D456F">
      <w:pPr>
        <w:spacing w:before="280" w:after="120" w:line="300" w:lineRule="atLeast"/>
        <w:ind w:left="357"/>
        <w:rPr>
          <w:rFonts w:ascii="Calibri" w:hAnsi="Calibri" w:cs="Calibri"/>
          <w:sz w:val="20"/>
          <w:szCs w:val="20"/>
        </w:rPr>
      </w:pPr>
      <w:r w:rsidRPr="001D07DF">
        <w:rPr>
          <w:rFonts w:ascii="Calibri" w:hAnsi="Calibri" w:cs="Calibri"/>
          <w:sz w:val="20"/>
          <w:szCs w:val="20"/>
        </w:rPr>
        <w:t>The Locum shall be fully responsible for and shall indemnify the Practice against any liability arising from:</w:t>
      </w:r>
    </w:p>
    <w:p w:rsidR="003D456F" w:rsidRPr="001D07DF" w:rsidRDefault="003D456F" w:rsidP="003D456F">
      <w:pPr>
        <w:numPr>
          <w:ilvl w:val="0"/>
          <w:numId w:val="1"/>
        </w:numPr>
        <w:spacing w:before="280" w:after="120" w:line="300" w:lineRule="atLeast"/>
        <w:ind w:hanging="357"/>
        <w:rPr>
          <w:rFonts w:ascii="Calibri" w:hAnsi="Calibri" w:cs="Calibri"/>
          <w:sz w:val="20"/>
          <w:szCs w:val="20"/>
        </w:rPr>
      </w:pPr>
      <w:r w:rsidRPr="001D07DF">
        <w:rPr>
          <w:rFonts w:ascii="Calibri" w:hAnsi="Calibri" w:cs="Calibri"/>
          <w:sz w:val="20"/>
          <w:szCs w:val="20"/>
        </w:rPr>
        <w:t>any income tax, national insurance contributions or any other liability, assessment or claim arising from or made in connection with the provision of the Services (where such recovery is not prohibited by law);</w:t>
      </w:r>
    </w:p>
    <w:p w:rsidR="003D456F" w:rsidRPr="001D07DF" w:rsidRDefault="003D456F" w:rsidP="003D456F">
      <w:pPr>
        <w:numPr>
          <w:ilvl w:val="0"/>
          <w:numId w:val="1"/>
        </w:numPr>
        <w:spacing w:before="280" w:after="120" w:line="300" w:lineRule="atLeast"/>
        <w:ind w:hanging="357"/>
        <w:rPr>
          <w:rFonts w:ascii="Calibri" w:hAnsi="Calibri" w:cs="Calibri"/>
          <w:sz w:val="20"/>
          <w:szCs w:val="20"/>
        </w:rPr>
      </w:pPr>
      <w:r w:rsidRPr="001D07DF">
        <w:rPr>
          <w:rFonts w:ascii="Calibri" w:hAnsi="Calibri" w:cs="Calibri"/>
          <w:sz w:val="20"/>
          <w:szCs w:val="20"/>
        </w:rPr>
        <w:t>any employment-related claim or any claim based on worker status brought by the Locum or any Substitute against the Practice arising out of or in connection with the provision of the Services,</w:t>
      </w:r>
    </w:p>
    <w:p w:rsidR="00D84BEB" w:rsidRPr="001D07DF" w:rsidRDefault="003D456F" w:rsidP="00D84BEB">
      <w:pPr>
        <w:spacing w:before="280" w:after="120" w:line="300" w:lineRule="atLeast"/>
        <w:ind w:left="723"/>
        <w:rPr>
          <w:rFonts w:ascii="Calibri" w:hAnsi="Calibri" w:cs="Calibri"/>
          <w:sz w:val="20"/>
          <w:szCs w:val="20"/>
        </w:rPr>
      </w:pPr>
      <w:r w:rsidRPr="001D07DF">
        <w:rPr>
          <w:rFonts w:ascii="Calibri" w:hAnsi="Calibri" w:cs="Calibri"/>
          <w:sz w:val="20"/>
          <w:szCs w:val="20"/>
        </w:rPr>
        <w:t xml:space="preserve">except where such liability arises </w:t>
      </w:r>
      <w:proofErr w:type="gramStart"/>
      <w:r w:rsidRPr="001D07DF">
        <w:rPr>
          <w:rFonts w:ascii="Calibri" w:hAnsi="Calibri" w:cs="Calibri"/>
          <w:sz w:val="20"/>
          <w:szCs w:val="20"/>
        </w:rPr>
        <w:t>as a result of</w:t>
      </w:r>
      <w:proofErr w:type="gramEnd"/>
      <w:r w:rsidRPr="001D07DF">
        <w:rPr>
          <w:rFonts w:ascii="Calibri" w:hAnsi="Calibri" w:cs="Calibri"/>
          <w:sz w:val="20"/>
          <w:szCs w:val="20"/>
        </w:rPr>
        <w:t xml:space="preserve"> the Practice’s negligence or wilful default.</w:t>
      </w:r>
    </w:p>
    <w:p w:rsidR="00D84BEB" w:rsidRPr="001D07DF" w:rsidRDefault="00D84BEB" w:rsidP="00D84BEB">
      <w:pPr>
        <w:numPr>
          <w:ilvl w:val="0"/>
          <w:numId w:val="2"/>
        </w:numPr>
        <w:spacing w:before="280" w:after="120" w:line="300" w:lineRule="atLeast"/>
        <w:rPr>
          <w:rFonts w:ascii="Calibri" w:hAnsi="Calibri" w:cs="Calibri"/>
          <w:b/>
          <w:sz w:val="20"/>
          <w:szCs w:val="20"/>
        </w:rPr>
      </w:pPr>
      <w:r w:rsidRPr="001D07DF">
        <w:rPr>
          <w:rFonts w:ascii="Calibri" w:hAnsi="Calibri" w:cs="Calibri"/>
          <w:b/>
          <w:sz w:val="20"/>
          <w:szCs w:val="20"/>
        </w:rPr>
        <w:t>Data protection indemnity</w:t>
      </w:r>
    </w:p>
    <w:p w:rsidR="00D84BEB" w:rsidRPr="001D07DF" w:rsidRDefault="00D84BEB" w:rsidP="00D84BEB">
      <w:pPr>
        <w:spacing w:before="280" w:after="120" w:line="300" w:lineRule="atLeast"/>
        <w:ind w:left="360"/>
        <w:rPr>
          <w:rFonts w:ascii="Calibri" w:hAnsi="Calibri" w:cs="Calibri"/>
          <w:sz w:val="20"/>
          <w:szCs w:val="20"/>
        </w:rPr>
      </w:pPr>
      <w:r w:rsidRPr="001D07DF">
        <w:rPr>
          <w:rFonts w:ascii="Calibri" w:hAnsi="Calibri" w:cs="Calibri"/>
          <w:sz w:val="20"/>
          <w:szCs w:val="20"/>
        </w:rPr>
        <w:t xml:space="preserve">The Locum shall indemnify the Practice against all costs, claims, damages or expenses incurred by the Practice or for which the Practice may become liable due to any </w:t>
      </w:r>
      <w:r w:rsidR="00427E66" w:rsidRPr="001D07DF">
        <w:rPr>
          <w:rFonts w:ascii="Calibri" w:hAnsi="Calibri" w:cs="Calibri"/>
          <w:sz w:val="20"/>
          <w:szCs w:val="20"/>
        </w:rPr>
        <w:t>breach</w:t>
      </w:r>
      <w:r w:rsidRPr="001D07DF">
        <w:rPr>
          <w:rFonts w:ascii="Calibri" w:hAnsi="Calibri" w:cs="Calibri"/>
          <w:sz w:val="20"/>
          <w:szCs w:val="20"/>
        </w:rPr>
        <w:t xml:space="preserve"> by the Locum </w:t>
      </w:r>
      <w:r w:rsidR="00427E66" w:rsidRPr="001D07DF">
        <w:rPr>
          <w:rFonts w:ascii="Calibri" w:hAnsi="Calibri" w:cs="Calibri"/>
          <w:sz w:val="20"/>
          <w:szCs w:val="20"/>
        </w:rPr>
        <w:t>(</w:t>
      </w:r>
      <w:r w:rsidRPr="001D07DF">
        <w:rPr>
          <w:rFonts w:ascii="Calibri" w:hAnsi="Calibri" w:cs="Calibri"/>
          <w:sz w:val="20"/>
          <w:szCs w:val="20"/>
        </w:rPr>
        <w:t>or</w:t>
      </w:r>
      <w:r w:rsidR="00427E66" w:rsidRPr="001D07DF">
        <w:rPr>
          <w:rFonts w:ascii="Calibri" w:hAnsi="Calibri" w:cs="Calibri"/>
          <w:sz w:val="20"/>
          <w:szCs w:val="20"/>
        </w:rPr>
        <w:t xml:space="preserve"> any Substitute appointed under clause 7</w:t>
      </w:r>
      <w:r w:rsidR="0040267D" w:rsidRPr="001D07DF">
        <w:rPr>
          <w:rFonts w:ascii="Calibri" w:hAnsi="Calibri" w:cs="Calibri"/>
          <w:sz w:val="20"/>
          <w:szCs w:val="20"/>
        </w:rPr>
        <w:t xml:space="preserve"> of the Terms</w:t>
      </w:r>
      <w:r w:rsidR="00427E66" w:rsidRPr="001D07DF">
        <w:rPr>
          <w:rFonts w:ascii="Calibri" w:hAnsi="Calibri" w:cs="Calibri"/>
          <w:sz w:val="20"/>
          <w:szCs w:val="20"/>
        </w:rPr>
        <w:t>)</w:t>
      </w:r>
      <w:r w:rsidRPr="001D07DF">
        <w:rPr>
          <w:rFonts w:ascii="Calibri" w:hAnsi="Calibri" w:cs="Calibri"/>
          <w:sz w:val="20"/>
          <w:szCs w:val="20"/>
        </w:rPr>
        <w:t xml:space="preserve"> to comply with any of the Locum’s obligations under Schedule 1 </w:t>
      </w:r>
      <w:r w:rsidR="00895787" w:rsidRPr="001D07DF">
        <w:rPr>
          <w:rFonts w:ascii="Calibri" w:hAnsi="Calibri" w:cs="Calibri"/>
          <w:sz w:val="20"/>
          <w:szCs w:val="20"/>
        </w:rPr>
        <w:t xml:space="preserve">to the Terms </w:t>
      </w:r>
      <w:r w:rsidRPr="001D07DF">
        <w:rPr>
          <w:rFonts w:ascii="Calibri" w:hAnsi="Calibri" w:cs="Calibri"/>
          <w:sz w:val="20"/>
          <w:szCs w:val="20"/>
        </w:rPr>
        <w:t>or the Data Legislation</w:t>
      </w:r>
      <w:r w:rsidR="00895787" w:rsidRPr="001D07DF">
        <w:rPr>
          <w:rFonts w:ascii="Calibri" w:hAnsi="Calibri" w:cs="Calibri"/>
          <w:sz w:val="20"/>
          <w:szCs w:val="20"/>
        </w:rPr>
        <w:t xml:space="preserve"> as defined therein</w:t>
      </w:r>
      <w:r w:rsidRPr="001D07DF">
        <w:rPr>
          <w:rFonts w:ascii="Calibri" w:hAnsi="Calibri" w:cs="Calibri"/>
          <w:sz w:val="20"/>
          <w:szCs w:val="20"/>
        </w:rPr>
        <w:t>.</w:t>
      </w:r>
    </w:p>
    <w:p w:rsidR="00D84BEB" w:rsidRPr="00D84BEB" w:rsidRDefault="00D84BEB" w:rsidP="00D84BEB">
      <w:pPr>
        <w:rPr>
          <w:rFonts w:ascii="Calibri" w:hAnsi="Calibri" w:cs="Calibri"/>
          <w:b/>
          <w:sz w:val="20"/>
          <w:szCs w:val="20"/>
        </w:rPr>
      </w:pPr>
      <w:bookmarkStart w:id="1" w:name="_GoBack"/>
      <w:bookmarkEnd w:id="1"/>
    </w:p>
    <w:sectPr w:rsidR="00D84BEB" w:rsidRPr="00D84BE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9DE" w:rsidRDefault="00AD59DE" w:rsidP="002D36F4">
      <w:pPr>
        <w:spacing w:after="0" w:line="240" w:lineRule="auto"/>
      </w:pPr>
      <w:r>
        <w:separator/>
      </w:r>
    </w:p>
  </w:endnote>
  <w:endnote w:type="continuationSeparator" w:id="0">
    <w:p w:rsidR="00AD59DE" w:rsidRDefault="00AD59DE" w:rsidP="002D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6F4" w:rsidRPr="00AC32AC" w:rsidRDefault="002D36F4" w:rsidP="002D36F4">
    <w:pPr>
      <w:pStyle w:val="Footer"/>
      <w:rPr>
        <w:sz w:val="20"/>
        <w:szCs w:val="20"/>
      </w:rPr>
    </w:pPr>
    <w:r w:rsidRPr="00AC32AC">
      <w:rPr>
        <w:sz w:val="20"/>
        <w:szCs w:val="20"/>
      </w:rPr>
      <w:t>© British Medical Association 2019</w:t>
    </w:r>
  </w:p>
  <w:p w:rsidR="002D36F4" w:rsidRDefault="002D36F4">
    <w:pPr>
      <w:pStyle w:val="Footer"/>
    </w:pPr>
  </w:p>
  <w:p w:rsidR="002D36F4" w:rsidRDefault="002D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9DE" w:rsidRDefault="00AD59DE" w:rsidP="002D36F4">
      <w:pPr>
        <w:spacing w:after="0" w:line="240" w:lineRule="auto"/>
      </w:pPr>
      <w:r>
        <w:separator/>
      </w:r>
    </w:p>
  </w:footnote>
  <w:footnote w:type="continuationSeparator" w:id="0">
    <w:p w:rsidR="00AD59DE" w:rsidRDefault="00AD59DE" w:rsidP="002D3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D4A5F"/>
    <w:multiLevelType w:val="hybridMultilevel"/>
    <w:tmpl w:val="ADEEF2B6"/>
    <w:lvl w:ilvl="0" w:tplc="FDB0E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2A5102A"/>
    <w:multiLevelType w:val="hybridMultilevel"/>
    <w:tmpl w:val="990871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6F"/>
    <w:rsid w:val="001D07DF"/>
    <w:rsid w:val="002D36F4"/>
    <w:rsid w:val="003C1196"/>
    <w:rsid w:val="003D456F"/>
    <w:rsid w:val="0040267D"/>
    <w:rsid w:val="00427E66"/>
    <w:rsid w:val="004D76F9"/>
    <w:rsid w:val="004F494F"/>
    <w:rsid w:val="00895787"/>
    <w:rsid w:val="008B7327"/>
    <w:rsid w:val="009D24D4"/>
    <w:rsid w:val="00AD25B1"/>
    <w:rsid w:val="00AD59DE"/>
    <w:rsid w:val="00CD0316"/>
    <w:rsid w:val="00D84BEB"/>
    <w:rsid w:val="00EC6357"/>
    <w:rsid w:val="00F3077F"/>
    <w:rsid w:val="00F44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F0530-C102-4D26-A2B1-0E6CD36F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D456F"/>
    <w:rPr>
      <w:sz w:val="16"/>
      <w:szCs w:val="16"/>
    </w:rPr>
  </w:style>
  <w:style w:type="paragraph" w:styleId="CommentText">
    <w:name w:val="annotation text"/>
    <w:basedOn w:val="Normal"/>
    <w:link w:val="CommentTextChar"/>
    <w:uiPriority w:val="99"/>
    <w:semiHidden/>
    <w:unhideWhenUsed/>
    <w:rsid w:val="003D456F"/>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3D456F"/>
    <w:rPr>
      <w:rFonts w:ascii="Calibri" w:eastAsia="Calibri" w:hAnsi="Calibri" w:cs="Times New Roman"/>
      <w:sz w:val="20"/>
      <w:szCs w:val="20"/>
      <w:lang w:val="x-none" w:eastAsia="x-none"/>
    </w:rPr>
  </w:style>
  <w:style w:type="paragraph" w:styleId="NormalWeb">
    <w:name w:val="Normal (Web)"/>
    <w:basedOn w:val="Normal"/>
    <w:uiPriority w:val="99"/>
    <w:unhideWhenUsed/>
    <w:rsid w:val="003D456F"/>
    <w:pPr>
      <w:spacing w:before="100" w:beforeAutospacing="1" w:after="100" w:afterAutospacing="1" w:line="240" w:lineRule="auto"/>
    </w:pPr>
    <w:rPr>
      <w:rFonts w:ascii="Calibri" w:eastAsia="Calibri" w:hAnsi="Calibri" w:cs="Calibri"/>
      <w:lang w:eastAsia="en-GB"/>
    </w:rPr>
  </w:style>
  <w:style w:type="character" w:styleId="Strong">
    <w:name w:val="Strong"/>
    <w:uiPriority w:val="22"/>
    <w:qFormat/>
    <w:rsid w:val="003D456F"/>
    <w:rPr>
      <w:b/>
      <w:bCs/>
    </w:rPr>
  </w:style>
  <w:style w:type="paragraph" w:styleId="BalloonText">
    <w:name w:val="Balloon Text"/>
    <w:basedOn w:val="Normal"/>
    <w:link w:val="BalloonTextChar"/>
    <w:uiPriority w:val="99"/>
    <w:semiHidden/>
    <w:unhideWhenUsed/>
    <w:rsid w:val="003D4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56F"/>
    <w:rPr>
      <w:rFonts w:ascii="Segoe UI" w:hAnsi="Segoe UI" w:cs="Segoe UI"/>
      <w:sz w:val="18"/>
      <w:szCs w:val="18"/>
    </w:rPr>
  </w:style>
  <w:style w:type="paragraph" w:styleId="ListParagraph">
    <w:name w:val="List Paragraph"/>
    <w:basedOn w:val="Normal"/>
    <w:uiPriority w:val="34"/>
    <w:qFormat/>
    <w:rsid w:val="00D84BEB"/>
    <w:pPr>
      <w:ind w:left="720"/>
      <w:contextualSpacing/>
    </w:pPr>
  </w:style>
  <w:style w:type="table" w:styleId="TableGrid">
    <w:name w:val="Table Grid"/>
    <w:basedOn w:val="TableNormal"/>
    <w:uiPriority w:val="39"/>
    <w:rsid w:val="00F4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3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6F4"/>
  </w:style>
  <w:style w:type="paragraph" w:styleId="Footer">
    <w:name w:val="footer"/>
    <w:basedOn w:val="Normal"/>
    <w:link w:val="FooterChar"/>
    <w:uiPriority w:val="99"/>
    <w:unhideWhenUsed/>
    <w:rsid w:val="002D3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F55C-6D54-4CD8-AB9E-164EAB08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Quinton</dc:creator>
  <cp:keywords/>
  <dc:description/>
  <cp:lastModifiedBy>Matthew Lasham</cp:lastModifiedBy>
  <cp:revision>5</cp:revision>
  <dcterms:created xsi:type="dcterms:W3CDTF">2019-01-22T15:28:00Z</dcterms:created>
  <dcterms:modified xsi:type="dcterms:W3CDTF">2019-03-11T10:00:00Z</dcterms:modified>
</cp:coreProperties>
</file>